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D1" w:rsidRPr="009B7BA2" w:rsidRDefault="000B2DD1" w:rsidP="009B7BA2">
      <w:pPr>
        <w:jc w:val="center"/>
        <w:rPr>
          <w:sz w:val="28"/>
          <w:szCs w:val="28"/>
        </w:rPr>
      </w:pPr>
      <w:r w:rsidRPr="009B7BA2">
        <w:rPr>
          <w:sz w:val="28"/>
          <w:szCs w:val="28"/>
        </w:rPr>
        <w:t>HYVIEN KÄYTÄNTÖJEN VERKKOSOVELLUS, SYÖTTÖLOMAKE</w:t>
      </w:r>
    </w:p>
    <w:p w:rsidR="000B2DD1" w:rsidRDefault="000B2DD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6189"/>
      </w:tblGrid>
      <w:tr w:rsidR="000B2DD1" w:rsidTr="009B7BA2">
        <w:tc>
          <w:tcPr>
            <w:tcW w:w="8646" w:type="dxa"/>
            <w:gridSpan w:val="2"/>
          </w:tcPr>
          <w:p w:rsidR="000B2DD1" w:rsidRPr="00161FD7" w:rsidRDefault="000B2DD1" w:rsidP="00631336">
            <w:pPr>
              <w:pStyle w:val="NormalIndent"/>
              <w:pBdr>
                <w:bottom w:val="single" w:sz="12" w:space="1" w:color="auto"/>
              </w:pBdr>
              <w:ind w:left="0"/>
              <w:rPr>
                <w:sz w:val="22"/>
                <w:lang w:eastAsia="en-US"/>
              </w:rPr>
            </w:pPr>
            <w:r w:rsidRPr="00161FD7">
              <w:rPr>
                <w:sz w:val="22"/>
                <w:lang w:eastAsia="en-US"/>
              </w:rPr>
              <w:t>1. Yleistiedot</w:t>
            </w:r>
          </w:p>
          <w:p w:rsidR="000B2DD1" w:rsidRPr="00161FD7" w:rsidRDefault="000B2DD1" w:rsidP="00631336">
            <w:pPr>
              <w:pStyle w:val="NormalIndent"/>
              <w:ind w:left="0"/>
              <w:rPr>
                <w:lang w:eastAsia="en-US"/>
              </w:rPr>
            </w:pPr>
          </w:p>
        </w:tc>
      </w:tr>
      <w:tr w:rsidR="000B2DD1" w:rsidRPr="009B2766" w:rsidTr="009B7BA2">
        <w:tc>
          <w:tcPr>
            <w:tcW w:w="3194" w:type="dxa"/>
          </w:tcPr>
          <w:p w:rsidR="000B2DD1" w:rsidRDefault="000B2DD1" w:rsidP="00631336">
            <w:pPr>
              <w:rPr>
                <w:rFonts w:cs="Arial"/>
                <w:b/>
                <w:bCs/>
              </w:rPr>
            </w:pPr>
            <w:r>
              <w:rPr>
                <w:rFonts w:cs="Arial"/>
                <w:b/>
                <w:bCs/>
              </w:rPr>
              <w:t>Käytännön nimi</w:t>
            </w:r>
          </w:p>
        </w:tc>
        <w:tc>
          <w:tcPr>
            <w:tcW w:w="5452" w:type="dxa"/>
          </w:tcPr>
          <w:p w:rsidR="000B2DD1" w:rsidRPr="00161FD7" w:rsidRDefault="000B2DD1" w:rsidP="00631336">
            <w:pPr>
              <w:pStyle w:val="NormalIndent"/>
              <w:ind w:left="0"/>
              <w:rPr>
                <w:lang w:eastAsia="en-US"/>
              </w:rPr>
            </w:pPr>
            <w:r w:rsidRPr="00161FD7">
              <w:rPr>
                <w:lang w:eastAsia="en-US"/>
              </w:rPr>
              <w:t>Etäopetusta kansainvälisten kumppanien kanssa lukiossa</w:t>
            </w:r>
          </w:p>
        </w:tc>
      </w:tr>
      <w:tr w:rsidR="000B2DD1" w:rsidRPr="00DB06E8" w:rsidTr="009B7BA2">
        <w:tc>
          <w:tcPr>
            <w:tcW w:w="3194" w:type="dxa"/>
          </w:tcPr>
          <w:p w:rsidR="000B2DD1" w:rsidRDefault="000B2DD1" w:rsidP="001E0803">
            <w:pPr>
              <w:rPr>
                <w:rFonts w:cs="Arial"/>
                <w:b/>
                <w:bCs/>
              </w:rPr>
            </w:pPr>
            <w:r>
              <w:rPr>
                <w:rFonts w:cs="Arial"/>
                <w:b/>
                <w:bCs/>
              </w:rPr>
              <w:t xml:space="preserve">Käytännön kuvaus pähkinänkuoressa  </w:t>
            </w:r>
            <w:r>
              <w:rPr>
                <w:rFonts w:cs="Arial"/>
                <w:b/>
                <w:bCs/>
              </w:rPr>
              <w:br/>
            </w:r>
          </w:p>
        </w:tc>
        <w:tc>
          <w:tcPr>
            <w:tcW w:w="5452" w:type="dxa"/>
          </w:tcPr>
          <w:p w:rsidR="000B2DD1" w:rsidRPr="00161FD7" w:rsidRDefault="000B2DD1" w:rsidP="00B13EBE">
            <w:pPr>
              <w:pStyle w:val="NormalIndent"/>
              <w:ind w:left="0"/>
              <w:rPr>
                <w:lang w:eastAsia="en-US"/>
              </w:rPr>
            </w:pPr>
            <w:r w:rsidRPr="00161FD7">
              <w:rPr>
                <w:lang w:eastAsia="en-US"/>
              </w:rPr>
              <w:t>Suomen koulujärjestelmä on kansainvälisesti hyvässä maineessa, ja toisaalta muilla mailla on omat vahvuutensa. Kaikkien osallistujamaiden etuna on järjestää yhteistä opetusta virtuaalisesti eri oppiaineiden opetussuunnitelman mukaisissa sisällöissä oppilaslähtöisesti.  Näin välittyy tietoa ja kulttuuria sekä syntyy sosiaalisia kontakteja.</w:t>
            </w:r>
          </w:p>
        </w:tc>
      </w:tr>
      <w:tr w:rsidR="000B2DD1" w:rsidTr="009B7BA2">
        <w:tc>
          <w:tcPr>
            <w:tcW w:w="8646" w:type="dxa"/>
            <w:gridSpan w:val="2"/>
          </w:tcPr>
          <w:p w:rsidR="000B2DD1" w:rsidRPr="00161FD7" w:rsidRDefault="000B2DD1" w:rsidP="00631336">
            <w:pPr>
              <w:pStyle w:val="NormalIndent"/>
              <w:pBdr>
                <w:bottom w:val="single" w:sz="12" w:space="1" w:color="auto"/>
              </w:pBdr>
              <w:ind w:left="0"/>
              <w:rPr>
                <w:sz w:val="22"/>
                <w:lang w:eastAsia="en-US"/>
              </w:rPr>
            </w:pPr>
            <w:r w:rsidRPr="00161FD7">
              <w:rPr>
                <w:sz w:val="22"/>
                <w:lang w:eastAsia="en-US"/>
              </w:rPr>
              <w:t>2. Luokittelut</w:t>
            </w:r>
          </w:p>
          <w:p w:rsidR="000B2DD1" w:rsidRPr="00161FD7" w:rsidRDefault="000B2DD1" w:rsidP="00DB06E8">
            <w:pPr>
              <w:pStyle w:val="NormalIndent"/>
              <w:ind w:left="0"/>
              <w:rPr>
                <w:lang w:eastAsia="en-US"/>
              </w:rPr>
            </w:pPr>
            <w:r w:rsidRPr="00161FD7">
              <w:rPr>
                <w:lang w:eastAsia="en-US"/>
              </w:rPr>
              <w:t>Valintavaihtoehdot, valintalistat, joilta luokittelutietoja valitaan</w:t>
            </w:r>
          </w:p>
        </w:tc>
      </w:tr>
      <w:tr w:rsidR="000B2DD1" w:rsidTr="009B7BA2">
        <w:tc>
          <w:tcPr>
            <w:tcW w:w="3194" w:type="dxa"/>
          </w:tcPr>
          <w:p w:rsidR="000B2DD1" w:rsidRPr="00CC6480" w:rsidRDefault="000B2DD1" w:rsidP="00631336">
            <w:pPr>
              <w:rPr>
                <w:rFonts w:cs="Arial"/>
                <w:b/>
                <w:bCs/>
              </w:rPr>
            </w:pPr>
            <w:r w:rsidRPr="00CC6480">
              <w:rPr>
                <w:rFonts w:cs="Arial"/>
                <w:b/>
                <w:bCs/>
              </w:rPr>
              <w:t>K</w:t>
            </w:r>
            <w:r>
              <w:rPr>
                <w:rFonts w:cs="Arial"/>
                <w:b/>
                <w:bCs/>
              </w:rPr>
              <w:t>ohderyhmä</w:t>
            </w:r>
          </w:p>
        </w:tc>
        <w:tc>
          <w:tcPr>
            <w:tcW w:w="5452" w:type="dxa"/>
          </w:tcPr>
          <w:p w:rsidR="000B2DD1" w:rsidRDefault="000B2DD1" w:rsidP="005F2ABC">
            <w:pPr>
              <w:numPr>
                <w:ilvl w:val="0"/>
                <w:numId w:val="3"/>
              </w:numPr>
              <w:spacing w:before="0"/>
              <w:ind w:left="714" w:hanging="357"/>
              <w:rPr>
                <w:rStyle w:val="separator"/>
              </w:rPr>
            </w:pPr>
            <w:r w:rsidRPr="00CC6480">
              <w:t xml:space="preserve">Lukiokoulutus </w:t>
            </w:r>
          </w:p>
          <w:p w:rsidR="000B2DD1" w:rsidRPr="00553A76" w:rsidRDefault="000B2DD1" w:rsidP="00460384">
            <w:pPr>
              <w:spacing w:before="0"/>
              <w:ind w:left="714"/>
            </w:pPr>
          </w:p>
        </w:tc>
      </w:tr>
      <w:tr w:rsidR="000B2DD1" w:rsidTr="009B7BA2">
        <w:tc>
          <w:tcPr>
            <w:tcW w:w="3194" w:type="dxa"/>
          </w:tcPr>
          <w:p w:rsidR="000B2DD1" w:rsidRDefault="000B2DD1" w:rsidP="00631336">
            <w:pPr>
              <w:rPr>
                <w:rFonts w:cs="Arial"/>
                <w:b/>
                <w:bCs/>
              </w:rPr>
            </w:pPr>
            <w:r w:rsidRPr="002A1989">
              <w:rPr>
                <w:rFonts w:cs="Arial"/>
                <w:b/>
                <w:bCs/>
              </w:rPr>
              <w:t>Aihepiiri (teema)</w:t>
            </w:r>
          </w:p>
          <w:p w:rsidR="000B2DD1" w:rsidRPr="002A1989" w:rsidRDefault="000B2DD1" w:rsidP="00631336">
            <w:pPr>
              <w:rPr>
                <w:rFonts w:cs="Arial"/>
                <w:b/>
                <w:bCs/>
              </w:rPr>
            </w:pPr>
          </w:p>
        </w:tc>
        <w:tc>
          <w:tcPr>
            <w:tcW w:w="5452" w:type="dxa"/>
          </w:tcPr>
          <w:p w:rsidR="000B2DD1" w:rsidRPr="00161FD7" w:rsidRDefault="000B2DD1" w:rsidP="00460384">
            <w:pPr>
              <w:pStyle w:val="NormalIndent"/>
              <w:numPr>
                <w:ilvl w:val="0"/>
                <w:numId w:val="4"/>
              </w:numPr>
              <w:spacing w:before="0" w:after="0"/>
              <w:ind w:left="714" w:hanging="357"/>
              <w:rPr>
                <w:sz w:val="18"/>
                <w:lang w:eastAsia="en-US"/>
              </w:rPr>
            </w:pPr>
            <w:r w:rsidRPr="00161FD7">
              <w:rPr>
                <w:sz w:val="18"/>
                <w:lang w:eastAsia="en-US"/>
              </w:rPr>
              <w:t xml:space="preserve">Kieli- ja kulttuuriryhmät  </w:t>
            </w:r>
          </w:p>
          <w:p w:rsidR="000B2DD1" w:rsidRPr="00161FD7" w:rsidRDefault="000B2DD1" w:rsidP="005F2ABC">
            <w:pPr>
              <w:pStyle w:val="NormalIndent"/>
              <w:numPr>
                <w:ilvl w:val="0"/>
                <w:numId w:val="4"/>
              </w:numPr>
              <w:spacing w:before="0" w:after="0"/>
              <w:ind w:left="714" w:hanging="357"/>
              <w:rPr>
                <w:sz w:val="18"/>
                <w:lang w:eastAsia="en-US"/>
              </w:rPr>
            </w:pPr>
            <w:r w:rsidRPr="00161FD7">
              <w:rPr>
                <w:sz w:val="18"/>
                <w:lang w:eastAsia="en-US"/>
              </w:rPr>
              <w:t>Oppimisympäristöt</w:t>
            </w:r>
          </w:p>
          <w:p w:rsidR="000B2DD1" w:rsidRPr="00161FD7" w:rsidRDefault="000B2DD1" w:rsidP="005F2ABC">
            <w:pPr>
              <w:pStyle w:val="NormalIndent"/>
              <w:numPr>
                <w:ilvl w:val="0"/>
                <w:numId w:val="4"/>
              </w:numPr>
              <w:spacing w:before="0" w:after="0"/>
              <w:ind w:left="714" w:hanging="357"/>
              <w:rPr>
                <w:sz w:val="18"/>
                <w:lang w:eastAsia="en-US"/>
              </w:rPr>
            </w:pPr>
            <w:r w:rsidRPr="00161FD7">
              <w:rPr>
                <w:sz w:val="18"/>
                <w:lang w:eastAsia="en-US"/>
              </w:rPr>
              <w:t>Opetussuunnitelman mukainen lukio-opetus</w:t>
            </w:r>
          </w:p>
          <w:p w:rsidR="000B2DD1" w:rsidRPr="00161FD7" w:rsidRDefault="000B2DD1" w:rsidP="005F2ABC">
            <w:pPr>
              <w:pStyle w:val="NormalIndent"/>
              <w:numPr>
                <w:ilvl w:val="0"/>
                <w:numId w:val="4"/>
              </w:numPr>
              <w:spacing w:before="0" w:after="0"/>
              <w:ind w:left="714" w:hanging="357"/>
              <w:rPr>
                <w:sz w:val="18"/>
                <w:lang w:eastAsia="en-US"/>
              </w:rPr>
            </w:pPr>
            <w:r w:rsidRPr="00161FD7">
              <w:rPr>
                <w:sz w:val="18"/>
                <w:lang w:eastAsia="en-US"/>
              </w:rPr>
              <w:t>Kansainvälinen toiminta</w:t>
            </w:r>
          </w:p>
          <w:p w:rsidR="000B2DD1" w:rsidRPr="00161FD7" w:rsidRDefault="000B2DD1" w:rsidP="00460384">
            <w:pPr>
              <w:pStyle w:val="NormalIndent"/>
              <w:spacing w:before="0" w:after="0"/>
              <w:ind w:left="720"/>
              <w:rPr>
                <w:sz w:val="18"/>
                <w:lang w:eastAsia="en-US"/>
              </w:rPr>
            </w:pPr>
          </w:p>
        </w:tc>
      </w:tr>
      <w:tr w:rsidR="000B2DD1" w:rsidTr="009B7BA2">
        <w:tc>
          <w:tcPr>
            <w:tcW w:w="8646" w:type="dxa"/>
            <w:gridSpan w:val="2"/>
          </w:tcPr>
          <w:p w:rsidR="000B2DD1" w:rsidRPr="00161FD7" w:rsidRDefault="000B2DD1" w:rsidP="00631336">
            <w:pPr>
              <w:pStyle w:val="NormalIndent"/>
              <w:pBdr>
                <w:bottom w:val="single" w:sz="12" w:space="1" w:color="auto"/>
              </w:pBdr>
              <w:ind w:left="0"/>
              <w:rPr>
                <w:sz w:val="22"/>
                <w:lang w:eastAsia="en-US"/>
              </w:rPr>
            </w:pPr>
            <w:r w:rsidRPr="00161FD7">
              <w:rPr>
                <w:sz w:val="22"/>
                <w:lang w:eastAsia="en-US"/>
              </w:rPr>
              <w:t>3. Menetelmän sovellettavuus</w:t>
            </w:r>
          </w:p>
          <w:p w:rsidR="000B2DD1" w:rsidRPr="00161FD7" w:rsidRDefault="000B2DD1" w:rsidP="00631336">
            <w:pPr>
              <w:pStyle w:val="NormalIndent"/>
              <w:ind w:left="0"/>
              <w:rPr>
                <w:lang w:eastAsia="en-US"/>
              </w:rPr>
            </w:pPr>
            <w:r w:rsidRPr="00161FD7">
              <w:rPr>
                <w:lang w:eastAsia="en-US"/>
              </w:rPr>
              <w:t>Edellytykset</w:t>
            </w:r>
          </w:p>
        </w:tc>
      </w:tr>
      <w:tr w:rsidR="000B2DD1" w:rsidTr="009B7BA2">
        <w:tc>
          <w:tcPr>
            <w:tcW w:w="3194" w:type="dxa"/>
          </w:tcPr>
          <w:p w:rsidR="000B2DD1" w:rsidRDefault="000B2DD1" w:rsidP="00631336">
            <w:pPr>
              <w:rPr>
                <w:rFonts w:cs="Arial"/>
                <w:b/>
                <w:bCs/>
              </w:rPr>
            </w:pPr>
            <w:r>
              <w:rPr>
                <w:rFonts w:cs="Arial"/>
                <w:b/>
                <w:bCs/>
              </w:rPr>
              <w:t>Käyttötarkoitus (soveltamisalue)</w:t>
            </w:r>
          </w:p>
          <w:p w:rsidR="000B2DD1" w:rsidRDefault="000B2DD1" w:rsidP="00631336">
            <w:pPr>
              <w:rPr>
                <w:rFonts w:cs="Arial"/>
                <w:b/>
                <w:bCs/>
              </w:rPr>
            </w:pPr>
          </w:p>
        </w:tc>
        <w:tc>
          <w:tcPr>
            <w:tcW w:w="5452" w:type="dxa"/>
          </w:tcPr>
          <w:p w:rsidR="000B2DD1" w:rsidRPr="00161FD7" w:rsidRDefault="000B2DD1" w:rsidP="00631336">
            <w:pPr>
              <w:pStyle w:val="NormalIndent"/>
              <w:ind w:left="0"/>
              <w:rPr>
                <w:lang w:eastAsia="en-US"/>
              </w:rPr>
            </w:pPr>
            <w:r w:rsidRPr="00161FD7">
              <w:rPr>
                <w:lang w:eastAsia="en-US"/>
              </w:rPr>
              <w:t>Kaikille lukiolaisille ja lukion opettajille tarjoutuu yhteinen mahdollisuus suunnitella, lähettää ja ottaa vastaan oppitunteja eri oppiaineissa hyödyntäen nykytekniikkaa ja kouluyhteisön innovatiivisuutta koulutyössä. Käytetyn mallin mukaisesti myös tiedon tallennus/nauhoitus on mahdollista, jotta sitä voidaan käyttää myös tulevien lukiolaisten kanssa.</w:t>
            </w:r>
          </w:p>
          <w:p w:rsidR="000B2DD1" w:rsidRPr="00161FD7" w:rsidRDefault="000B2DD1" w:rsidP="00B13EBE">
            <w:pPr>
              <w:pStyle w:val="NormalIndent"/>
              <w:ind w:left="0"/>
              <w:rPr>
                <w:lang w:eastAsia="en-US"/>
              </w:rPr>
            </w:pPr>
            <w:r w:rsidRPr="00161FD7">
              <w:rPr>
                <w:lang w:eastAsia="en-US"/>
              </w:rPr>
              <w:t>Mallissa on mahdollista se, että opetuskielenä on välillä muukin kieli kuin englanti, mikäli muita vieraita kieliä sisältyy koulun kieliohjelmaan.</w:t>
            </w:r>
          </w:p>
        </w:tc>
      </w:tr>
      <w:tr w:rsidR="000B2DD1" w:rsidTr="009B7BA2">
        <w:tc>
          <w:tcPr>
            <w:tcW w:w="3194" w:type="dxa"/>
          </w:tcPr>
          <w:p w:rsidR="000B2DD1" w:rsidRDefault="000B2DD1" w:rsidP="00631336">
            <w:pPr>
              <w:rPr>
                <w:rFonts w:cs="Arial"/>
                <w:b/>
                <w:bCs/>
              </w:rPr>
            </w:pPr>
            <w:r>
              <w:rPr>
                <w:rFonts w:cs="Arial"/>
                <w:b/>
                <w:bCs/>
              </w:rPr>
              <w:t>Resurssitarve</w:t>
            </w:r>
          </w:p>
          <w:p w:rsidR="000B2DD1" w:rsidRDefault="000B2DD1" w:rsidP="00631336">
            <w:pPr>
              <w:rPr>
                <w:rFonts w:cs="Arial"/>
                <w:b/>
                <w:bCs/>
              </w:rPr>
            </w:pPr>
            <w:r>
              <w:rPr>
                <w:rFonts w:cs="Arial"/>
                <w:b/>
                <w:bCs/>
              </w:rPr>
              <w:t>(Onnistumisen ehdot</w:t>
            </w:r>
            <w:r w:rsidRPr="00443D57">
              <w:rPr>
                <w:rFonts w:cs="Arial"/>
                <w:b/>
                <w:bCs/>
              </w:rPr>
              <w:t xml:space="preserve"> ja haasteet)</w:t>
            </w:r>
          </w:p>
          <w:p w:rsidR="000B2DD1" w:rsidRDefault="000B2DD1" w:rsidP="00631336">
            <w:pPr>
              <w:rPr>
                <w:rFonts w:cs="Arial"/>
                <w:b/>
                <w:bCs/>
              </w:rPr>
            </w:pPr>
          </w:p>
        </w:tc>
        <w:tc>
          <w:tcPr>
            <w:tcW w:w="5452" w:type="dxa"/>
          </w:tcPr>
          <w:p w:rsidR="000B2DD1" w:rsidRPr="00161FD7" w:rsidRDefault="000B2DD1" w:rsidP="00247E31">
            <w:pPr>
              <w:pStyle w:val="NormalIndent"/>
              <w:ind w:left="0"/>
              <w:rPr>
                <w:lang w:eastAsia="en-US"/>
              </w:rPr>
            </w:pPr>
            <w:r w:rsidRPr="00161FD7">
              <w:rPr>
                <w:lang w:eastAsia="en-US"/>
              </w:rPr>
              <w:t xml:space="preserve">Tarvitaan sopiva verkkokokousohjelma ja riittävät tekniset laitteet sekä koulutusta opiskelijoille ja opettajille.  </w:t>
            </w:r>
          </w:p>
          <w:p w:rsidR="000B2DD1" w:rsidRPr="00161FD7" w:rsidRDefault="000B2DD1" w:rsidP="00247E31">
            <w:pPr>
              <w:pStyle w:val="NormalIndent"/>
              <w:ind w:left="0"/>
              <w:rPr>
                <w:lang w:eastAsia="en-US"/>
              </w:rPr>
            </w:pPr>
            <w:r w:rsidRPr="00161FD7">
              <w:rPr>
                <w:lang w:eastAsia="en-US"/>
              </w:rPr>
              <w:t xml:space="preserve">Aikaa vaaditaan kontaktien luomiseen, yhteisen tekniikan löytämiseen ja motivointiin.  </w:t>
            </w:r>
          </w:p>
          <w:p w:rsidR="000B2DD1" w:rsidRPr="00161FD7" w:rsidRDefault="000B2DD1" w:rsidP="00247E31">
            <w:pPr>
              <w:pStyle w:val="NormalIndent"/>
              <w:ind w:left="0"/>
              <w:rPr>
                <w:lang w:eastAsia="en-US"/>
              </w:rPr>
            </w:pPr>
            <w:r w:rsidRPr="00161FD7">
              <w:rPr>
                <w:lang w:eastAsia="en-US"/>
              </w:rPr>
              <w:t xml:space="preserve">Rahoitus tarvitaan verkkokokousohjelman lisensseihin ja mahdollisiin oheislaitteisiin, mutta valtavia investointikuluja ei ole tarkoitus syntyä. Koulun olemassa olevia resursseja hyödynnetään mahdollisimman pitkälle. </w:t>
            </w:r>
          </w:p>
          <w:p w:rsidR="000B2DD1" w:rsidRPr="00161FD7" w:rsidRDefault="000B2DD1" w:rsidP="00247E31">
            <w:pPr>
              <w:pStyle w:val="NormalIndent"/>
              <w:ind w:left="0"/>
              <w:rPr>
                <w:lang w:eastAsia="en-US"/>
              </w:rPr>
            </w:pPr>
            <w:r w:rsidRPr="00161FD7">
              <w:rPr>
                <w:lang w:eastAsia="en-US"/>
              </w:rPr>
              <w:t xml:space="preserve">Kaikilla koulun opettajilla tulisi olla valmiudet valitun tekniikan käyttöön, mutta lisäksi tarvitaan muutama avainhenkilö, joilla on oma vahvuusalueensa projektin sisällä.  </w:t>
            </w:r>
          </w:p>
          <w:p w:rsidR="000B2DD1" w:rsidRPr="00161FD7" w:rsidRDefault="000B2DD1" w:rsidP="00631336">
            <w:pPr>
              <w:pStyle w:val="NormalIndent"/>
              <w:ind w:left="0"/>
              <w:rPr>
                <w:lang w:eastAsia="en-US"/>
              </w:rPr>
            </w:pPr>
            <w:r w:rsidRPr="00161FD7">
              <w:rPr>
                <w:lang w:eastAsia="en-US"/>
              </w:rPr>
              <w:t>Etäopetuksen mahdollisimman hyvän onnistumisen takia opiskelijat tulee ottaa tasavertaisiksi kumppaneiksi jo suunnitteluvaiheessa, koska perimmäinen tarkoitus ei ole käyttää opettajajohtoisia opetusmenetelmiä vaan tuoda oppilaat keskiöön.</w:t>
            </w:r>
          </w:p>
        </w:tc>
      </w:tr>
      <w:tr w:rsidR="000B2DD1" w:rsidTr="009B7BA2">
        <w:tc>
          <w:tcPr>
            <w:tcW w:w="3194" w:type="dxa"/>
          </w:tcPr>
          <w:p w:rsidR="000B2DD1" w:rsidRDefault="000B2DD1" w:rsidP="00631336">
            <w:pPr>
              <w:rPr>
                <w:rFonts w:cs="Arial"/>
                <w:b/>
                <w:bCs/>
              </w:rPr>
            </w:pPr>
            <w:r>
              <w:rPr>
                <w:rFonts w:cs="Arial"/>
                <w:b/>
                <w:bCs/>
              </w:rPr>
              <w:t>Reunaehdot</w:t>
            </w:r>
          </w:p>
          <w:p w:rsidR="000B2DD1" w:rsidRDefault="000B2DD1" w:rsidP="00631336">
            <w:pPr>
              <w:rPr>
                <w:rFonts w:cs="Arial"/>
                <w:b/>
                <w:bCs/>
              </w:rPr>
            </w:pPr>
          </w:p>
        </w:tc>
        <w:tc>
          <w:tcPr>
            <w:tcW w:w="5452" w:type="dxa"/>
          </w:tcPr>
          <w:p w:rsidR="000B2DD1" w:rsidRPr="00161FD7" w:rsidRDefault="000B2DD1" w:rsidP="00631336">
            <w:pPr>
              <w:pStyle w:val="NormalIndent"/>
              <w:ind w:left="0"/>
              <w:rPr>
                <w:lang w:eastAsia="en-US"/>
              </w:rPr>
            </w:pPr>
            <w:r w:rsidRPr="00161FD7">
              <w:rPr>
                <w:lang w:eastAsia="en-US"/>
              </w:rPr>
              <w:t>Menetelmä on käyttökelpoinen, vaikka osa olosuhteista muuttuisikin.  Tekniikan osalta käyttökelpoisuus riippuu paljon eri osanottajamaiden opetuksen toteuttajien valmiuksista. Ne tulee varmistaa kattavasti suunnitelman pohjaksi.</w:t>
            </w:r>
          </w:p>
          <w:p w:rsidR="000B2DD1" w:rsidRPr="00161FD7" w:rsidRDefault="000B2DD1" w:rsidP="00631336">
            <w:pPr>
              <w:pStyle w:val="NormalIndent"/>
              <w:ind w:left="0"/>
              <w:rPr>
                <w:lang w:eastAsia="en-US"/>
              </w:rPr>
            </w:pPr>
            <w:r w:rsidRPr="00161FD7">
              <w:rPr>
                <w:lang w:eastAsia="en-US"/>
              </w:rPr>
              <w:t>Jokaisen opettajan tulee sitoutua vastaamaan yhdessä oppilaidensa kanssa ainakin yhdestä opetustunnista vuodessa. Tällöin järjestely ei rasita liikaa vain tiettyjä opettajia ja oppilaita. Samalla varmistuu opetussisältöjen monipuolisuus.</w:t>
            </w:r>
          </w:p>
          <w:p w:rsidR="000B2DD1" w:rsidRPr="00161FD7" w:rsidRDefault="000B2DD1" w:rsidP="00B13EBE">
            <w:pPr>
              <w:pStyle w:val="NormalIndent"/>
              <w:ind w:left="0"/>
              <w:rPr>
                <w:lang w:eastAsia="en-US"/>
              </w:rPr>
            </w:pPr>
            <w:r w:rsidRPr="00161FD7">
              <w:rPr>
                <w:lang w:eastAsia="en-US"/>
              </w:rPr>
              <w:t>Hyvin nopeat muutokset suunnitelmassa eivät ole mahdollisia, koska kouluilla on paljon omaa toimintaa, johon muutokset vaikuttavat suoranaisesti. Jos muutoksia tulee paljon, toimijat turhautuvat.</w:t>
            </w:r>
          </w:p>
          <w:p w:rsidR="000B2DD1" w:rsidRPr="00161FD7" w:rsidRDefault="000B2DD1" w:rsidP="00B13EBE">
            <w:pPr>
              <w:pStyle w:val="NormalIndent"/>
              <w:ind w:left="0"/>
              <w:rPr>
                <w:lang w:eastAsia="en-US"/>
              </w:rPr>
            </w:pPr>
            <w:r w:rsidRPr="00161FD7">
              <w:rPr>
                <w:lang w:eastAsia="en-US"/>
              </w:rPr>
              <w:t xml:space="preserve">Koulujen lukuvuoteen sisältyvät lomat ja erikoisviikot/päivät tulee kartoittaa tarkasti opetustunteja suunniteltaessa. </w:t>
            </w:r>
          </w:p>
        </w:tc>
      </w:tr>
      <w:tr w:rsidR="000B2DD1" w:rsidTr="009B7BA2">
        <w:tc>
          <w:tcPr>
            <w:tcW w:w="8646" w:type="dxa"/>
            <w:gridSpan w:val="2"/>
          </w:tcPr>
          <w:p w:rsidR="000B2DD1" w:rsidRPr="00161FD7" w:rsidRDefault="000B2DD1" w:rsidP="00631336">
            <w:pPr>
              <w:pStyle w:val="NormalIndent"/>
              <w:pBdr>
                <w:bottom w:val="single" w:sz="12" w:space="1" w:color="auto"/>
              </w:pBdr>
              <w:ind w:left="0"/>
              <w:rPr>
                <w:sz w:val="22"/>
                <w:lang w:eastAsia="en-US"/>
              </w:rPr>
            </w:pPr>
            <w:r w:rsidRPr="00161FD7">
              <w:rPr>
                <w:sz w:val="22"/>
                <w:lang w:eastAsia="en-US"/>
              </w:rPr>
              <w:t>4. Menetelmän kuvaus</w:t>
            </w:r>
          </w:p>
          <w:p w:rsidR="000B2DD1" w:rsidRPr="00161FD7" w:rsidRDefault="000B2DD1" w:rsidP="00DB06E8">
            <w:pPr>
              <w:pStyle w:val="NormalIndent"/>
              <w:ind w:left="0"/>
              <w:rPr>
                <w:lang w:eastAsia="en-US"/>
              </w:rPr>
            </w:pPr>
            <w:r w:rsidRPr="00161FD7">
              <w:rPr>
                <w:lang w:eastAsia="en-US"/>
              </w:rPr>
              <w:t xml:space="preserve">"Varsinainen kuvaus" </w:t>
            </w:r>
          </w:p>
        </w:tc>
      </w:tr>
      <w:tr w:rsidR="000B2DD1" w:rsidTr="009B7BA2">
        <w:tc>
          <w:tcPr>
            <w:tcW w:w="3194" w:type="dxa"/>
          </w:tcPr>
          <w:p w:rsidR="000B2DD1" w:rsidRDefault="000B2DD1" w:rsidP="00631336">
            <w:pPr>
              <w:rPr>
                <w:rFonts w:cs="Arial"/>
                <w:b/>
                <w:bCs/>
              </w:rPr>
            </w:pPr>
            <w:r>
              <w:rPr>
                <w:rFonts w:cs="Arial"/>
                <w:b/>
                <w:bCs/>
              </w:rPr>
              <w:t>Kuvaus</w:t>
            </w:r>
          </w:p>
          <w:p w:rsidR="000B2DD1" w:rsidRDefault="000B2DD1" w:rsidP="00631336">
            <w:pPr>
              <w:rPr>
                <w:rFonts w:cs="Arial"/>
                <w:b/>
                <w:bCs/>
              </w:rPr>
            </w:pPr>
          </w:p>
        </w:tc>
        <w:tc>
          <w:tcPr>
            <w:tcW w:w="5452" w:type="dxa"/>
          </w:tcPr>
          <w:p w:rsidR="000B2DD1" w:rsidRPr="00161FD7" w:rsidRDefault="000B2DD1" w:rsidP="009B2766">
            <w:pPr>
              <w:pStyle w:val="NormalIndent"/>
              <w:numPr>
                <w:ilvl w:val="0"/>
                <w:numId w:val="6"/>
              </w:numPr>
              <w:rPr>
                <w:lang w:eastAsia="en-US"/>
              </w:rPr>
            </w:pPr>
            <w:r w:rsidRPr="00161FD7">
              <w:rPr>
                <w:lang w:eastAsia="en-US"/>
              </w:rPr>
              <w:t>Etsitään partnerit. Mietitään mahdollista rahoitushakua, jos sille koetaan olevan tarvetta.</w:t>
            </w:r>
          </w:p>
          <w:p w:rsidR="000B2DD1" w:rsidRPr="00161FD7" w:rsidRDefault="000B2DD1" w:rsidP="009B2766">
            <w:pPr>
              <w:pStyle w:val="NormalIndent"/>
              <w:numPr>
                <w:ilvl w:val="0"/>
                <w:numId w:val="6"/>
              </w:numPr>
              <w:rPr>
                <w:lang w:eastAsia="en-US"/>
              </w:rPr>
            </w:pPr>
            <w:r w:rsidRPr="00161FD7">
              <w:rPr>
                <w:lang w:eastAsia="en-US"/>
              </w:rPr>
              <w:t>Jaetaan vastuualueet ja muodostetaan opiskelijoiden ja opettajien yhteisiä työryhmiä hoitamaan oma vastuualueensa. Jos tarkoitus on hyödyntää ulkoista rahoitusta, yksi vastuualue muodostuu siitä.</w:t>
            </w:r>
          </w:p>
          <w:p w:rsidR="000B2DD1" w:rsidRPr="00161FD7" w:rsidRDefault="000B2DD1" w:rsidP="009B2766">
            <w:pPr>
              <w:pStyle w:val="NormalIndent"/>
              <w:numPr>
                <w:ilvl w:val="0"/>
                <w:numId w:val="6"/>
              </w:numPr>
              <w:rPr>
                <w:lang w:eastAsia="en-US"/>
              </w:rPr>
            </w:pPr>
            <w:r w:rsidRPr="00161FD7">
              <w:rPr>
                <w:lang w:eastAsia="en-US"/>
              </w:rPr>
              <w:t>Tutustutaan käytössä oleviin ohjelmiin ja laitteistoihin, mietitään kulloinkin paras käytettävä vaihtoehto ja varmistetaan riittävä kouluttautuminen tehtäviin.</w:t>
            </w:r>
          </w:p>
          <w:p w:rsidR="000B2DD1" w:rsidRPr="00161FD7" w:rsidRDefault="000B2DD1" w:rsidP="009B2766">
            <w:pPr>
              <w:pStyle w:val="NormalIndent"/>
              <w:numPr>
                <w:ilvl w:val="0"/>
                <w:numId w:val="6"/>
              </w:numPr>
              <w:rPr>
                <w:lang w:eastAsia="en-US"/>
              </w:rPr>
            </w:pPr>
            <w:r w:rsidRPr="00161FD7">
              <w:rPr>
                <w:lang w:eastAsia="en-US"/>
              </w:rPr>
              <w:t>Sovitaan aikataulut, milloin kouluopetusta välitetään. Huomioidaan tarkasti koulujen vuosikalenterit.</w:t>
            </w:r>
          </w:p>
          <w:p w:rsidR="000B2DD1" w:rsidRPr="00161FD7" w:rsidRDefault="000B2DD1" w:rsidP="009B2766">
            <w:pPr>
              <w:pStyle w:val="NormalIndent"/>
              <w:numPr>
                <w:ilvl w:val="0"/>
                <w:numId w:val="6"/>
              </w:numPr>
              <w:rPr>
                <w:lang w:eastAsia="en-US"/>
              </w:rPr>
            </w:pPr>
            <w:r w:rsidRPr="00161FD7">
              <w:rPr>
                <w:lang w:eastAsia="en-US"/>
              </w:rPr>
              <w:t>Sovitaan kenelle opetus välitetään virtuaalisesti (kahden- vai useammanvälinen opetustuokio).</w:t>
            </w:r>
          </w:p>
          <w:p w:rsidR="000B2DD1" w:rsidRPr="00161FD7" w:rsidRDefault="000B2DD1" w:rsidP="009B2766">
            <w:pPr>
              <w:pStyle w:val="NormalIndent"/>
              <w:numPr>
                <w:ilvl w:val="0"/>
                <w:numId w:val="6"/>
              </w:numPr>
              <w:rPr>
                <w:lang w:eastAsia="en-US"/>
              </w:rPr>
            </w:pPr>
            <w:r w:rsidRPr="00161FD7">
              <w:rPr>
                <w:lang w:eastAsia="en-US"/>
              </w:rPr>
              <w:t>Sovitaan mukana olevat oppiaineet ja tarkastellaan niiden opetussuunnitelmien sisällöt yhteneväisyyksien löytämiseksi.</w:t>
            </w:r>
          </w:p>
          <w:p w:rsidR="000B2DD1" w:rsidRPr="00161FD7" w:rsidRDefault="000B2DD1" w:rsidP="009B2766">
            <w:pPr>
              <w:pStyle w:val="NormalIndent"/>
              <w:numPr>
                <w:ilvl w:val="0"/>
                <w:numId w:val="6"/>
              </w:numPr>
              <w:rPr>
                <w:lang w:eastAsia="en-US"/>
              </w:rPr>
            </w:pPr>
            <w:r w:rsidRPr="00161FD7">
              <w:rPr>
                <w:lang w:eastAsia="en-US"/>
              </w:rPr>
              <w:t>Jaetaan välitettävän oppitunnit tehtävät (kuka suunnittelee, kuka tekee materiaalit, mitä kieltä käytetään jne.) opiskelijoiden ja oppilaiden kanssa.</w:t>
            </w:r>
          </w:p>
          <w:p w:rsidR="000B2DD1" w:rsidRPr="00161FD7" w:rsidRDefault="000B2DD1" w:rsidP="009B2766">
            <w:pPr>
              <w:pStyle w:val="NormalIndent"/>
              <w:numPr>
                <w:ilvl w:val="0"/>
                <w:numId w:val="6"/>
              </w:numPr>
              <w:rPr>
                <w:lang w:eastAsia="en-US"/>
              </w:rPr>
            </w:pPr>
            <w:r w:rsidRPr="00161FD7">
              <w:rPr>
                <w:lang w:eastAsia="en-US"/>
              </w:rPr>
              <w:t xml:space="preserve">Järjestetään digitaalisten tuotosten varastointi sekä suoritetaan tallenteiden eli opetustuokioiden nauhoitteiden ryhmittely. </w:t>
            </w:r>
          </w:p>
          <w:p w:rsidR="000B2DD1" w:rsidRPr="00161FD7" w:rsidRDefault="000B2DD1" w:rsidP="001B764A">
            <w:pPr>
              <w:pStyle w:val="NormalIndent"/>
              <w:numPr>
                <w:ilvl w:val="0"/>
                <w:numId w:val="6"/>
              </w:numPr>
              <w:rPr>
                <w:lang w:eastAsia="en-US"/>
              </w:rPr>
            </w:pPr>
            <w:r w:rsidRPr="00161FD7">
              <w:rPr>
                <w:lang w:eastAsia="en-US"/>
              </w:rPr>
              <w:t>Oppilailta ja opettajilta saadun palautteen pohjalta mietitään seuraavan lukukauden ohjelma, mahdolliset vierailut, parannusehdotukset ja muut tarpeelliset muutokset. Palautetta käsitellään sekä erikseen eri maissa että yhdessä kaikkien toimijoiden kanssa.</w:t>
            </w:r>
          </w:p>
          <w:p w:rsidR="000B2DD1" w:rsidRPr="00161FD7" w:rsidRDefault="000B2DD1" w:rsidP="001B764A">
            <w:pPr>
              <w:pStyle w:val="NormalIndent"/>
              <w:ind w:left="360"/>
              <w:rPr>
                <w:lang w:eastAsia="en-US"/>
              </w:rPr>
            </w:pPr>
          </w:p>
        </w:tc>
      </w:tr>
      <w:tr w:rsidR="000B2DD1" w:rsidTr="009B7BA2">
        <w:tc>
          <w:tcPr>
            <w:tcW w:w="3194" w:type="dxa"/>
          </w:tcPr>
          <w:p w:rsidR="000B2DD1" w:rsidRDefault="000B2DD1" w:rsidP="00631336">
            <w:pPr>
              <w:rPr>
                <w:rFonts w:cs="Arial"/>
                <w:b/>
                <w:bCs/>
              </w:rPr>
            </w:pPr>
            <w:r>
              <w:rPr>
                <w:rFonts w:cs="Arial"/>
                <w:b/>
                <w:bCs/>
              </w:rPr>
              <w:t>Kokemukset</w:t>
            </w:r>
          </w:p>
          <w:p w:rsidR="000B2DD1" w:rsidRDefault="000B2DD1" w:rsidP="00631336">
            <w:pPr>
              <w:rPr>
                <w:rFonts w:cs="Arial"/>
                <w:b/>
                <w:bCs/>
              </w:rPr>
            </w:pPr>
          </w:p>
        </w:tc>
        <w:tc>
          <w:tcPr>
            <w:tcW w:w="5452" w:type="dxa"/>
          </w:tcPr>
          <w:p w:rsidR="000B2DD1" w:rsidRPr="00161FD7" w:rsidRDefault="000B2DD1" w:rsidP="007A58AF">
            <w:pPr>
              <w:pStyle w:val="NormalIndent"/>
              <w:ind w:left="0"/>
              <w:rPr>
                <w:lang w:eastAsia="en-US"/>
              </w:rPr>
            </w:pPr>
            <w:r w:rsidRPr="00161FD7">
              <w:rPr>
                <w:lang w:eastAsia="en-US"/>
              </w:rPr>
              <w:t>Kansainvälisen etäopetuksen malli on syntynyt Suomen PISA-menestyksen innoittamana sekä samalla lukioluvalla toimivien kahden koulun(Vimpeli ja Alajärvi) jo olemassa olevan etäopetuksen inspiroimana.</w:t>
            </w:r>
          </w:p>
          <w:p w:rsidR="000B2DD1" w:rsidRPr="00161FD7" w:rsidRDefault="000B2DD1" w:rsidP="007A58AF">
            <w:pPr>
              <w:pStyle w:val="NormalIndent"/>
              <w:ind w:left="0"/>
              <w:rPr>
                <w:lang w:eastAsia="en-US"/>
              </w:rPr>
            </w:pPr>
            <w:r w:rsidRPr="00161FD7">
              <w:rPr>
                <w:lang w:eastAsia="en-US"/>
              </w:rPr>
              <w:t xml:space="preserve">Muiden mallit vastaavanlaisesta toiminnasta ovat kannustaneet viemään asiaa eteenpäin ja suunnittelemaan käytännön toteutusta.  </w:t>
            </w:r>
          </w:p>
          <w:p w:rsidR="000B2DD1" w:rsidRPr="00161FD7" w:rsidRDefault="000B2DD1" w:rsidP="007A58AF">
            <w:pPr>
              <w:pStyle w:val="NormalIndent"/>
              <w:ind w:left="0"/>
              <w:rPr>
                <w:lang w:eastAsia="en-US"/>
              </w:rPr>
            </w:pPr>
            <w:r w:rsidRPr="00161FD7">
              <w:rPr>
                <w:lang w:eastAsia="en-US"/>
              </w:rPr>
              <w:t>Jatkojalostus pohjautuu osittain toimijoiden kouluttautumiseen. Pääpuhuja KansainväliSYYSpäivillä Oulussa oli CICERO Learning–verkoston johtaja professori Jari Multisilta.  Seminaarissa Jari Multisillan esityksen perusteella vahvistui käsitys siitä, että koska he ovat verkostossaan tutkijoiden ja koulujen yhteistyössä nähneet tämän tyyppisen toiminnan olevan mahdollista käytännön koulutyössä, toteutus voi onnistua muiltakin.</w:t>
            </w:r>
          </w:p>
          <w:p w:rsidR="000B2DD1" w:rsidRPr="00161FD7" w:rsidRDefault="000B2DD1" w:rsidP="0038712E">
            <w:pPr>
              <w:pStyle w:val="NormalIndent"/>
              <w:ind w:left="0"/>
              <w:rPr>
                <w:lang w:eastAsia="en-US"/>
              </w:rPr>
            </w:pPr>
            <w:r w:rsidRPr="00161FD7">
              <w:rPr>
                <w:lang w:eastAsia="en-US"/>
              </w:rPr>
              <w:t>Kansainvälisen etäopetuksen tavoite on, että yhdessä nautitaan välittömästä palautteesta ja ”kansainvälisyyden hengestä” opetustuokion aikana, kun ollaan kasvotusten reaaliajassa erilaisen kulttuuri- ja oppimisympäristön kanssa.</w:t>
            </w:r>
          </w:p>
        </w:tc>
      </w:tr>
      <w:tr w:rsidR="000B2DD1" w:rsidTr="009B7BA2">
        <w:tc>
          <w:tcPr>
            <w:tcW w:w="3194" w:type="dxa"/>
          </w:tcPr>
          <w:p w:rsidR="000B2DD1" w:rsidRDefault="000B2DD1" w:rsidP="00631336">
            <w:pPr>
              <w:rPr>
                <w:rFonts w:cs="Arial"/>
                <w:b/>
                <w:bCs/>
              </w:rPr>
            </w:pPr>
            <w:r w:rsidRPr="00443D57">
              <w:rPr>
                <w:rFonts w:cs="Arial"/>
                <w:b/>
                <w:bCs/>
              </w:rPr>
              <w:t>Linkit ja hyvän käytännön saatavuus</w:t>
            </w:r>
          </w:p>
          <w:p w:rsidR="000B2DD1" w:rsidRPr="00443D57" w:rsidRDefault="000B2DD1" w:rsidP="00631336">
            <w:pPr>
              <w:rPr>
                <w:rFonts w:cs="Arial"/>
                <w:b/>
                <w:bCs/>
              </w:rPr>
            </w:pPr>
          </w:p>
        </w:tc>
        <w:tc>
          <w:tcPr>
            <w:tcW w:w="5452" w:type="dxa"/>
          </w:tcPr>
          <w:p w:rsidR="000B2DD1" w:rsidRPr="00161FD7" w:rsidRDefault="000B2DD1" w:rsidP="00D53DEE">
            <w:pPr>
              <w:pStyle w:val="NormalIndent"/>
              <w:ind w:left="0"/>
              <w:rPr>
                <w:lang w:eastAsia="en-US"/>
              </w:rPr>
            </w:pPr>
            <w:r w:rsidRPr="00161FD7">
              <w:rPr>
                <w:lang w:eastAsia="en-US"/>
              </w:rPr>
              <w:t>Yhteistyökumppanin haku:</w:t>
            </w:r>
          </w:p>
          <w:p w:rsidR="000B2DD1" w:rsidRPr="00161FD7" w:rsidRDefault="000B2DD1" w:rsidP="00D53DEE">
            <w:pPr>
              <w:pStyle w:val="NormalIndent"/>
              <w:ind w:left="0"/>
              <w:rPr>
                <w:lang w:eastAsia="en-US"/>
              </w:rPr>
            </w:pPr>
            <w:r w:rsidRPr="00161FD7">
              <w:rPr>
                <w:lang w:eastAsia="en-US"/>
              </w:rPr>
              <w:t>http://www.etwinning.net/en/pub/index.htm</w:t>
            </w:r>
          </w:p>
          <w:p w:rsidR="000B2DD1" w:rsidRPr="00161FD7" w:rsidRDefault="000B2DD1" w:rsidP="00D53DEE">
            <w:pPr>
              <w:pStyle w:val="NormalIndent"/>
              <w:ind w:left="0"/>
              <w:rPr>
                <w:lang w:eastAsia="en-US"/>
              </w:rPr>
            </w:pPr>
            <w:r w:rsidRPr="00161FD7">
              <w:rPr>
                <w:lang w:eastAsia="en-US"/>
              </w:rPr>
              <w:t>Eurooppalaisten koulujen lukuvuosikalenteri:</w:t>
            </w:r>
          </w:p>
          <w:p w:rsidR="000B2DD1" w:rsidRPr="00161FD7" w:rsidRDefault="000B2DD1" w:rsidP="00D53DEE">
            <w:pPr>
              <w:pStyle w:val="NormalIndent"/>
              <w:ind w:left="0"/>
              <w:rPr>
                <w:lang w:eastAsia="en-US"/>
              </w:rPr>
            </w:pPr>
            <w:r w:rsidRPr="00161FD7">
              <w:rPr>
                <w:lang w:eastAsia="en-US"/>
              </w:rPr>
              <w:t>http://eacea.ec.europa.eu/education/eurydice/tools_en.php</w:t>
            </w:r>
          </w:p>
          <w:p w:rsidR="000B2DD1" w:rsidRPr="00161FD7" w:rsidRDefault="000B2DD1" w:rsidP="00D53DEE">
            <w:pPr>
              <w:pStyle w:val="NormalIndent"/>
              <w:ind w:left="0"/>
              <w:rPr>
                <w:lang w:eastAsia="en-US"/>
              </w:rPr>
            </w:pPr>
            <w:r w:rsidRPr="00161FD7">
              <w:rPr>
                <w:lang w:eastAsia="en-US"/>
              </w:rPr>
              <w:t>CICERO-projekteja: http://www.cicero.fi/sivut2/projects.html</w:t>
            </w:r>
          </w:p>
          <w:p w:rsidR="000B2DD1" w:rsidRPr="00161FD7" w:rsidRDefault="000B2DD1" w:rsidP="00D53DEE">
            <w:pPr>
              <w:pStyle w:val="NormalIndent"/>
              <w:ind w:left="0"/>
              <w:rPr>
                <w:lang w:eastAsia="en-US"/>
              </w:rPr>
            </w:pPr>
          </w:p>
        </w:tc>
      </w:tr>
      <w:tr w:rsidR="000B2DD1" w:rsidTr="009B7BA2">
        <w:tc>
          <w:tcPr>
            <w:tcW w:w="3194" w:type="dxa"/>
          </w:tcPr>
          <w:p w:rsidR="000B2DD1" w:rsidRDefault="000B2DD1" w:rsidP="00631336">
            <w:pPr>
              <w:rPr>
                <w:rFonts w:cs="Arial"/>
                <w:b/>
                <w:bCs/>
              </w:rPr>
            </w:pPr>
            <w:r w:rsidRPr="00443D57">
              <w:rPr>
                <w:rFonts w:cs="Arial"/>
                <w:b/>
                <w:bCs/>
              </w:rPr>
              <w:t>Liitteet (tausta-aineisto)</w:t>
            </w:r>
          </w:p>
          <w:p w:rsidR="000B2DD1" w:rsidRPr="00443D57" w:rsidRDefault="000B2DD1" w:rsidP="00631336">
            <w:pPr>
              <w:rPr>
                <w:rFonts w:cs="Arial"/>
                <w:b/>
                <w:bCs/>
              </w:rPr>
            </w:pPr>
          </w:p>
        </w:tc>
        <w:tc>
          <w:tcPr>
            <w:tcW w:w="5452" w:type="dxa"/>
          </w:tcPr>
          <w:p w:rsidR="000B2DD1" w:rsidRPr="00161FD7" w:rsidRDefault="000B2DD1" w:rsidP="00D53DEE">
            <w:pPr>
              <w:pStyle w:val="NormalIndent"/>
              <w:spacing w:before="0" w:after="0"/>
              <w:ind w:left="0"/>
              <w:rPr>
                <w:lang w:eastAsia="en-US"/>
              </w:rPr>
            </w:pPr>
            <w:r w:rsidRPr="00161FD7">
              <w:rPr>
                <w:lang w:eastAsia="en-US"/>
              </w:rPr>
              <w:t>Toiminnan kuvaus englanniksi.</w:t>
            </w:r>
          </w:p>
        </w:tc>
      </w:tr>
      <w:tr w:rsidR="000B2DD1" w:rsidTr="009B7BA2">
        <w:tc>
          <w:tcPr>
            <w:tcW w:w="3194" w:type="dxa"/>
          </w:tcPr>
          <w:p w:rsidR="000B2DD1" w:rsidRDefault="000B2DD1" w:rsidP="00631336">
            <w:pPr>
              <w:rPr>
                <w:rFonts w:cs="Arial"/>
                <w:b/>
                <w:bCs/>
              </w:rPr>
            </w:pPr>
            <w:r>
              <w:rPr>
                <w:rFonts w:cs="Arial"/>
                <w:b/>
                <w:bCs/>
              </w:rPr>
              <w:t>Toteuttaja</w:t>
            </w:r>
          </w:p>
          <w:p w:rsidR="000B2DD1" w:rsidRDefault="000B2DD1" w:rsidP="00631336">
            <w:pPr>
              <w:rPr>
                <w:rFonts w:cs="Arial"/>
                <w:b/>
                <w:bCs/>
              </w:rPr>
            </w:pPr>
          </w:p>
        </w:tc>
        <w:tc>
          <w:tcPr>
            <w:tcW w:w="5452" w:type="dxa"/>
          </w:tcPr>
          <w:p w:rsidR="000B2DD1" w:rsidRPr="00161FD7" w:rsidRDefault="000B2DD1" w:rsidP="009B1153">
            <w:pPr>
              <w:pStyle w:val="NormalIndent"/>
              <w:ind w:left="0"/>
              <w:rPr>
                <w:lang w:eastAsia="en-US"/>
              </w:rPr>
            </w:pPr>
            <w:r w:rsidRPr="00161FD7">
              <w:rPr>
                <w:lang w:eastAsia="en-US"/>
              </w:rPr>
              <w:t>Menetelmä on kehitelty pitäen silmällä Vimpelin ja Alajärven kaupunkien velvoitetta lähteä ideoimaan kansainvälisyystoimintaa.  Koska Lasten ja nuorten foorumi jo antoi eväitä nuorten vaikuttamiseen, opettajisto päätti jatkaa samantyyppistä teemaa siirtämällä vaikuttamisen uusiin oppimisympäristöihin.</w:t>
            </w:r>
          </w:p>
          <w:p w:rsidR="000B2DD1" w:rsidRPr="00161FD7" w:rsidRDefault="000B2DD1" w:rsidP="009B1153">
            <w:pPr>
              <w:pStyle w:val="NormalIndent"/>
              <w:ind w:left="0"/>
              <w:rPr>
                <w:lang w:eastAsia="en-US"/>
              </w:rPr>
            </w:pPr>
            <w:r w:rsidRPr="00161FD7">
              <w:rPr>
                <w:lang w:eastAsia="en-US"/>
              </w:rPr>
              <w:t>Menetelmä on yhteistulosta etäopetuksen hyödyntämisestä ja yrityksestä poistaa teknologiapelkoa, opiskelijoiden ja opettajien yhteistyön tiivistämisestä ja tarpeesta modernisoida kouluopetusta samalla kun tutustutaan uusiin kulttuureihin ja annetaan mahdollisuus vertailla eri maiden opetusta.</w:t>
            </w:r>
          </w:p>
          <w:p w:rsidR="000B2DD1" w:rsidRPr="00161FD7" w:rsidRDefault="000B2DD1" w:rsidP="009B1153">
            <w:pPr>
              <w:pStyle w:val="NormalIndent"/>
              <w:ind w:left="0"/>
              <w:rPr>
                <w:lang w:eastAsia="en-US"/>
              </w:rPr>
            </w:pPr>
            <w:r w:rsidRPr="00161FD7">
              <w:rPr>
                <w:lang w:eastAsia="en-US"/>
              </w:rPr>
              <w:t>Oppilaitoksilla eri maissa on kokemusta jo aiemmista projekteista ja heillä on kaikilla oma vastuualueensa projektin sisällä (esim. arvioinnit, tiedon tallennus, promootiotyö, vierailujen järjestelyt, teknisen osaamisen hallinta).</w:t>
            </w:r>
          </w:p>
        </w:tc>
      </w:tr>
      <w:tr w:rsidR="000B2DD1" w:rsidTr="009B7BA2">
        <w:tc>
          <w:tcPr>
            <w:tcW w:w="3194" w:type="dxa"/>
          </w:tcPr>
          <w:p w:rsidR="000B2DD1" w:rsidRDefault="000B2DD1" w:rsidP="00631336">
            <w:pPr>
              <w:rPr>
                <w:rFonts w:cs="Arial"/>
                <w:b/>
                <w:bCs/>
              </w:rPr>
            </w:pPr>
            <w:r w:rsidRPr="008F6C5D">
              <w:rPr>
                <w:rFonts w:cs="Arial"/>
                <w:b/>
                <w:bCs/>
              </w:rPr>
              <w:t>Toteutusajankohta</w:t>
            </w:r>
          </w:p>
          <w:p w:rsidR="000B2DD1" w:rsidRPr="008F6C5D" w:rsidRDefault="000B2DD1" w:rsidP="00631336">
            <w:pPr>
              <w:rPr>
                <w:rFonts w:cs="Arial"/>
                <w:b/>
                <w:bCs/>
              </w:rPr>
            </w:pPr>
          </w:p>
        </w:tc>
        <w:tc>
          <w:tcPr>
            <w:tcW w:w="5452" w:type="dxa"/>
          </w:tcPr>
          <w:p w:rsidR="000B2DD1" w:rsidRPr="00161FD7" w:rsidRDefault="000B2DD1" w:rsidP="008D15EB">
            <w:pPr>
              <w:pStyle w:val="NormalIndent"/>
              <w:ind w:left="0"/>
              <w:rPr>
                <w:lang w:eastAsia="en-US"/>
              </w:rPr>
            </w:pPr>
            <w:r w:rsidRPr="00161FD7">
              <w:rPr>
                <w:lang w:eastAsia="en-US"/>
              </w:rPr>
              <w:t>TTLT – Teach Together Learn Together –hanke sai valtioapua v. 2011-2012 alustavaa suunnittelua varten. Tämän jälkeen haettiin Comenius- apurahaa toiminnan jatkosuunnitteluun ja käynnistämiseen.</w:t>
            </w:r>
          </w:p>
          <w:p w:rsidR="000B2DD1" w:rsidRPr="00161FD7" w:rsidRDefault="000B2DD1" w:rsidP="009B1153">
            <w:pPr>
              <w:pStyle w:val="NormalIndent"/>
              <w:ind w:left="0"/>
              <w:rPr>
                <w:lang w:eastAsia="en-US"/>
              </w:rPr>
            </w:pPr>
            <w:r w:rsidRPr="00161FD7">
              <w:rPr>
                <w:lang w:eastAsia="en-US"/>
              </w:rPr>
              <w:t>Sen jälkeen on tarkoitus jatkaa samoilla periaatteilla koulujen omalla rahoituksella, mikäli toteutusmalli katsotaan onnistuneeksi ja menetelmän toimivuus saadaan osaksi koulujen normaalia toimintakulttuuria.</w:t>
            </w:r>
          </w:p>
        </w:tc>
      </w:tr>
      <w:tr w:rsidR="000B2DD1" w:rsidTr="009B7BA2">
        <w:tc>
          <w:tcPr>
            <w:tcW w:w="3194" w:type="dxa"/>
          </w:tcPr>
          <w:p w:rsidR="000B2DD1" w:rsidRDefault="000B2DD1" w:rsidP="00631336">
            <w:pPr>
              <w:rPr>
                <w:rFonts w:cs="Arial"/>
                <w:b/>
                <w:bCs/>
              </w:rPr>
            </w:pPr>
            <w:r>
              <w:rPr>
                <w:rFonts w:cs="Arial"/>
                <w:b/>
                <w:bCs/>
              </w:rPr>
              <w:t>Kumppanitahot</w:t>
            </w:r>
          </w:p>
          <w:p w:rsidR="000B2DD1" w:rsidRDefault="000B2DD1" w:rsidP="00631336">
            <w:pPr>
              <w:rPr>
                <w:rFonts w:cs="Arial"/>
                <w:b/>
                <w:bCs/>
              </w:rPr>
            </w:pPr>
          </w:p>
        </w:tc>
        <w:tc>
          <w:tcPr>
            <w:tcW w:w="5452" w:type="dxa"/>
          </w:tcPr>
          <w:p w:rsidR="000B2DD1" w:rsidRPr="00161FD7" w:rsidRDefault="000B2DD1" w:rsidP="009B1153">
            <w:pPr>
              <w:pStyle w:val="NormalIndent"/>
              <w:ind w:left="0"/>
              <w:rPr>
                <w:lang w:eastAsia="en-US"/>
              </w:rPr>
            </w:pPr>
            <w:r w:rsidRPr="00161FD7">
              <w:rPr>
                <w:lang w:eastAsia="en-US"/>
              </w:rPr>
              <w:t xml:space="preserve">Alajärven lukio, Vimpelin lukio, vastaavanlaiset oppilaitokset Milanossa (Italia), Murciassa (Espanja), Lochesissa (Ranska) ja Adiyamanissa (Turkki).  </w:t>
            </w:r>
          </w:p>
        </w:tc>
      </w:tr>
      <w:tr w:rsidR="000B2DD1" w:rsidTr="009B7BA2">
        <w:tc>
          <w:tcPr>
            <w:tcW w:w="8646" w:type="dxa"/>
            <w:gridSpan w:val="2"/>
          </w:tcPr>
          <w:p w:rsidR="000B2DD1" w:rsidRPr="00161FD7" w:rsidRDefault="000B2DD1" w:rsidP="00631336">
            <w:pPr>
              <w:pStyle w:val="NormalIndent"/>
              <w:pBdr>
                <w:bottom w:val="single" w:sz="12" w:space="1" w:color="auto"/>
              </w:pBdr>
              <w:ind w:left="0"/>
              <w:rPr>
                <w:sz w:val="22"/>
                <w:lang w:eastAsia="en-US"/>
              </w:rPr>
            </w:pPr>
            <w:r w:rsidRPr="00161FD7">
              <w:rPr>
                <w:sz w:val="22"/>
                <w:lang w:eastAsia="en-US"/>
              </w:rPr>
              <w:t>7. Lisätiedot</w:t>
            </w:r>
          </w:p>
          <w:p w:rsidR="000B2DD1" w:rsidRPr="00161FD7" w:rsidRDefault="000B2DD1" w:rsidP="001E0803">
            <w:pPr>
              <w:pStyle w:val="NormalIndent"/>
              <w:ind w:left="0"/>
              <w:rPr>
                <w:lang w:eastAsia="en-US"/>
              </w:rPr>
            </w:pPr>
            <w:r w:rsidRPr="00161FD7">
              <w:rPr>
                <w:lang w:eastAsia="en-US"/>
              </w:rPr>
              <w:t xml:space="preserve"> </w:t>
            </w:r>
          </w:p>
        </w:tc>
      </w:tr>
      <w:tr w:rsidR="000B2DD1" w:rsidTr="009B7BA2">
        <w:tc>
          <w:tcPr>
            <w:tcW w:w="3194" w:type="dxa"/>
          </w:tcPr>
          <w:p w:rsidR="000B2DD1" w:rsidRDefault="000B2DD1" w:rsidP="00631336">
            <w:pPr>
              <w:rPr>
                <w:rFonts w:cs="Arial"/>
                <w:b/>
                <w:bCs/>
              </w:rPr>
            </w:pPr>
            <w:r>
              <w:rPr>
                <w:rFonts w:cs="Arial"/>
                <w:b/>
                <w:bCs/>
              </w:rPr>
              <w:t>Yhteyshenkilön tiedot</w:t>
            </w:r>
          </w:p>
          <w:p w:rsidR="000B2DD1" w:rsidRDefault="000B2DD1" w:rsidP="00631336">
            <w:pPr>
              <w:rPr>
                <w:rFonts w:cs="Arial"/>
                <w:b/>
                <w:bCs/>
              </w:rPr>
            </w:pPr>
          </w:p>
        </w:tc>
        <w:tc>
          <w:tcPr>
            <w:tcW w:w="5452" w:type="dxa"/>
          </w:tcPr>
          <w:p w:rsidR="000B2DD1" w:rsidRPr="00161FD7" w:rsidRDefault="000B2DD1" w:rsidP="005F2ABC">
            <w:pPr>
              <w:pStyle w:val="NormalIndent"/>
              <w:numPr>
                <w:ilvl w:val="0"/>
                <w:numId w:val="1"/>
              </w:numPr>
              <w:spacing w:before="0" w:after="0"/>
              <w:ind w:left="714" w:hanging="357"/>
              <w:rPr>
                <w:lang w:eastAsia="en-US"/>
              </w:rPr>
            </w:pPr>
            <w:r w:rsidRPr="00161FD7">
              <w:rPr>
                <w:lang w:eastAsia="en-US"/>
              </w:rPr>
              <w:t>Erkki Åkerman</w:t>
            </w:r>
          </w:p>
          <w:p w:rsidR="000B2DD1" w:rsidRPr="00161FD7" w:rsidRDefault="000B2DD1" w:rsidP="005F2ABC">
            <w:pPr>
              <w:pStyle w:val="NormalIndent"/>
              <w:numPr>
                <w:ilvl w:val="0"/>
                <w:numId w:val="1"/>
              </w:numPr>
              <w:spacing w:before="0" w:after="0"/>
              <w:ind w:left="714" w:hanging="357"/>
              <w:rPr>
                <w:lang w:eastAsia="en-US"/>
              </w:rPr>
            </w:pPr>
            <w:r w:rsidRPr="00161FD7">
              <w:rPr>
                <w:lang w:eastAsia="en-US"/>
              </w:rPr>
              <w:t>Alajärven lukio</w:t>
            </w:r>
          </w:p>
          <w:p w:rsidR="000B2DD1" w:rsidRPr="00161FD7" w:rsidRDefault="000B2DD1" w:rsidP="005F2ABC">
            <w:pPr>
              <w:pStyle w:val="NormalIndent"/>
              <w:numPr>
                <w:ilvl w:val="0"/>
                <w:numId w:val="1"/>
              </w:numPr>
              <w:spacing w:before="0" w:after="0"/>
              <w:ind w:left="714" w:hanging="357"/>
              <w:rPr>
                <w:lang w:eastAsia="en-US"/>
              </w:rPr>
            </w:pPr>
            <w:r w:rsidRPr="00161FD7">
              <w:rPr>
                <w:lang w:eastAsia="en-US"/>
              </w:rPr>
              <w:t>06-24122440 / 044-2970440</w:t>
            </w:r>
          </w:p>
          <w:p w:rsidR="000B2DD1" w:rsidRPr="00161FD7" w:rsidRDefault="000B2DD1" w:rsidP="005F2ABC">
            <w:pPr>
              <w:pStyle w:val="NormalIndent"/>
              <w:numPr>
                <w:ilvl w:val="0"/>
                <w:numId w:val="1"/>
              </w:numPr>
              <w:spacing w:before="0" w:after="0"/>
              <w:ind w:left="714" w:hanging="357"/>
              <w:rPr>
                <w:lang w:eastAsia="en-US"/>
              </w:rPr>
            </w:pPr>
            <w:r w:rsidRPr="00161FD7">
              <w:rPr>
                <w:lang w:eastAsia="en-US"/>
              </w:rPr>
              <w:t>erkki.akerman(at)alajarvi.fi</w:t>
            </w:r>
          </w:p>
        </w:tc>
      </w:tr>
      <w:tr w:rsidR="000B2DD1" w:rsidTr="009B7BA2">
        <w:tc>
          <w:tcPr>
            <w:tcW w:w="3194" w:type="dxa"/>
          </w:tcPr>
          <w:p w:rsidR="000B2DD1" w:rsidRDefault="000B2DD1" w:rsidP="00631336">
            <w:pPr>
              <w:rPr>
                <w:rFonts w:cs="Arial"/>
                <w:b/>
                <w:bCs/>
              </w:rPr>
            </w:pPr>
            <w:r>
              <w:rPr>
                <w:rFonts w:cs="Arial"/>
                <w:b/>
                <w:bCs/>
              </w:rPr>
              <w:t>Oikeuksien varmistaminen</w:t>
            </w:r>
          </w:p>
        </w:tc>
        <w:tc>
          <w:tcPr>
            <w:tcW w:w="5452" w:type="dxa"/>
          </w:tcPr>
          <w:p w:rsidR="000B2DD1" w:rsidRPr="00161FD7" w:rsidRDefault="000B2DD1" w:rsidP="009B1153">
            <w:pPr>
              <w:pStyle w:val="NormalIndent"/>
              <w:ind w:left="0"/>
              <w:rPr>
                <w:lang w:eastAsia="en-US"/>
              </w:rPr>
            </w:pPr>
            <w:r w:rsidRPr="00161FD7">
              <w:rPr>
                <w:lang w:eastAsia="en-US"/>
              </w:rPr>
              <w:t>Käytännön esittelyllä ei loukata kolmannen osapuolen tekijän</w:t>
            </w:r>
            <w:r w:rsidRPr="00161FD7">
              <w:rPr>
                <w:lang w:eastAsia="en-US"/>
              </w:rPr>
              <w:softHyphen/>
              <w:t xml:space="preserve">oikeuksia. </w:t>
            </w:r>
          </w:p>
        </w:tc>
      </w:tr>
    </w:tbl>
    <w:p w:rsidR="000B2DD1" w:rsidRDefault="000B2DD1"/>
    <w:sectPr w:rsidR="000B2DD1" w:rsidSect="009B7BA2">
      <w:pgSz w:w="11906" w:h="16838"/>
      <w:pgMar w:top="1417"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D1" w:rsidRDefault="000B2DD1" w:rsidP="005F2ABC">
      <w:pPr>
        <w:spacing w:before="0"/>
      </w:pPr>
      <w:r>
        <w:separator/>
      </w:r>
    </w:p>
  </w:endnote>
  <w:endnote w:type="continuationSeparator" w:id="0">
    <w:p w:rsidR="000B2DD1" w:rsidRDefault="000B2DD1" w:rsidP="005F2A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D1" w:rsidRDefault="000B2DD1" w:rsidP="005F2ABC">
      <w:pPr>
        <w:spacing w:before="0"/>
      </w:pPr>
      <w:r>
        <w:separator/>
      </w:r>
    </w:p>
  </w:footnote>
  <w:footnote w:type="continuationSeparator" w:id="0">
    <w:p w:rsidR="000B2DD1" w:rsidRDefault="000B2DD1" w:rsidP="005F2AB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5E59"/>
    <w:multiLevelType w:val="hybridMultilevel"/>
    <w:tmpl w:val="B5700B98"/>
    <w:lvl w:ilvl="0" w:tplc="57A85E86">
      <w:start w:val="5"/>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F0E19"/>
    <w:multiLevelType w:val="hybridMultilevel"/>
    <w:tmpl w:val="A08C92A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nsid w:val="2E1F1E71"/>
    <w:multiLevelType w:val="hybridMultilevel"/>
    <w:tmpl w:val="F4F88A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F1B545A"/>
    <w:multiLevelType w:val="hybridMultilevel"/>
    <w:tmpl w:val="08EECE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12B5FEB"/>
    <w:multiLevelType w:val="hybridMultilevel"/>
    <w:tmpl w:val="EAC2C5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5495079"/>
    <w:multiLevelType w:val="hybridMultilevel"/>
    <w:tmpl w:val="C7BAC24A"/>
    <w:lvl w:ilvl="0" w:tplc="871A5DCC">
      <w:numFmt w:val="bullet"/>
      <w:lvlText w:val="-"/>
      <w:lvlJc w:val="left"/>
      <w:pPr>
        <w:ind w:left="720" w:hanging="360"/>
      </w:pPr>
      <w:rPr>
        <w:rFonts w:ascii="Bookman Old Style" w:eastAsia="Times New Roman" w:hAnsi="Bookman Old Style"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ABC"/>
    <w:rsid w:val="0001539B"/>
    <w:rsid w:val="00022712"/>
    <w:rsid w:val="00034D87"/>
    <w:rsid w:val="0004036E"/>
    <w:rsid w:val="00046C0F"/>
    <w:rsid w:val="00060428"/>
    <w:rsid w:val="000621EC"/>
    <w:rsid w:val="00063948"/>
    <w:rsid w:val="0007745F"/>
    <w:rsid w:val="0009375C"/>
    <w:rsid w:val="00093DBF"/>
    <w:rsid w:val="000A1402"/>
    <w:rsid w:val="000B2DD1"/>
    <w:rsid w:val="000B7B2B"/>
    <w:rsid w:val="000C3A1C"/>
    <w:rsid w:val="000C4E43"/>
    <w:rsid w:val="000D5ABD"/>
    <w:rsid w:val="001215DE"/>
    <w:rsid w:val="00156D84"/>
    <w:rsid w:val="00161FD7"/>
    <w:rsid w:val="001627ED"/>
    <w:rsid w:val="00171F80"/>
    <w:rsid w:val="00196380"/>
    <w:rsid w:val="001A684D"/>
    <w:rsid w:val="001B2BE7"/>
    <w:rsid w:val="001B46D9"/>
    <w:rsid w:val="001B764A"/>
    <w:rsid w:val="001C72BE"/>
    <w:rsid w:val="001E0803"/>
    <w:rsid w:val="00206A33"/>
    <w:rsid w:val="00215B54"/>
    <w:rsid w:val="00225042"/>
    <w:rsid w:val="00242C51"/>
    <w:rsid w:val="0024352B"/>
    <w:rsid w:val="002465FA"/>
    <w:rsid w:val="00247E31"/>
    <w:rsid w:val="0025193B"/>
    <w:rsid w:val="00257D93"/>
    <w:rsid w:val="00292941"/>
    <w:rsid w:val="002A1989"/>
    <w:rsid w:val="002B10FC"/>
    <w:rsid w:val="002C1D22"/>
    <w:rsid w:val="002C23BA"/>
    <w:rsid w:val="002C4666"/>
    <w:rsid w:val="002D4A90"/>
    <w:rsid w:val="002F68AB"/>
    <w:rsid w:val="003023C7"/>
    <w:rsid w:val="00323592"/>
    <w:rsid w:val="003430D2"/>
    <w:rsid w:val="003465AD"/>
    <w:rsid w:val="0038712E"/>
    <w:rsid w:val="003A43FF"/>
    <w:rsid w:val="003F48D0"/>
    <w:rsid w:val="003F5B00"/>
    <w:rsid w:val="003F6477"/>
    <w:rsid w:val="003F7A80"/>
    <w:rsid w:val="00443D57"/>
    <w:rsid w:val="00445C67"/>
    <w:rsid w:val="00460384"/>
    <w:rsid w:val="004E5AC6"/>
    <w:rsid w:val="0050002D"/>
    <w:rsid w:val="0050122B"/>
    <w:rsid w:val="00506C83"/>
    <w:rsid w:val="00512670"/>
    <w:rsid w:val="0054749F"/>
    <w:rsid w:val="00553A76"/>
    <w:rsid w:val="005619F1"/>
    <w:rsid w:val="00561CE9"/>
    <w:rsid w:val="005629BA"/>
    <w:rsid w:val="00566CA3"/>
    <w:rsid w:val="0056739B"/>
    <w:rsid w:val="0057236B"/>
    <w:rsid w:val="00575FC0"/>
    <w:rsid w:val="00587E0F"/>
    <w:rsid w:val="005C7B98"/>
    <w:rsid w:val="005D7500"/>
    <w:rsid w:val="005F2ABC"/>
    <w:rsid w:val="00603D24"/>
    <w:rsid w:val="00624B08"/>
    <w:rsid w:val="00631336"/>
    <w:rsid w:val="00654850"/>
    <w:rsid w:val="00687EB8"/>
    <w:rsid w:val="00692690"/>
    <w:rsid w:val="006A5D69"/>
    <w:rsid w:val="006A724E"/>
    <w:rsid w:val="006B5B8B"/>
    <w:rsid w:val="006C3A4C"/>
    <w:rsid w:val="006E1BB1"/>
    <w:rsid w:val="006F4283"/>
    <w:rsid w:val="00715585"/>
    <w:rsid w:val="007727CD"/>
    <w:rsid w:val="007A58AF"/>
    <w:rsid w:val="007D643D"/>
    <w:rsid w:val="008144B3"/>
    <w:rsid w:val="00826D17"/>
    <w:rsid w:val="00827CD0"/>
    <w:rsid w:val="008303CC"/>
    <w:rsid w:val="0085533F"/>
    <w:rsid w:val="008722E3"/>
    <w:rsid w:val="008765BE"/>
    <w:rsid w:val="00897D20"/>
    <w:rsid w:val="008A147A"/>
    <w:rsid w:val="008C19F7"/>
    <w:rsid w:val="008D15EB"/>
    <w:rsid w:val="008F2F55"/>
    <w:rsid w:val="008F6C5D"/>
    <w:rsid w:val="009166C1"/>
    <w:rsid w:val="00955E8B"/>
    <w:rsid w:val="009650B5"/>
    <w:rsid w:val="00965449"/>
    <w:rsid w:val="009B1153"/>
    <w:rsid w:val="009B2766"/>
    <w:rsid w:val="009B591C"/>
    <w:rsid w:val="009B6105"/>
    <w:rsid w:val="009B7BA2"/>
    <w:rsid w:val="009D4778"/>
    <w:rsid w:val="009D5A56"/>
    <w:rsid w:val="009E20FC"/>
    <w:rsid w:val="00A4311F"/>
    <w:rsid w:val="00A57F69"/>
    <w:rsid w:val="00A661B6"/>
    <w:rsid w:val="00A67758"/>
    <w:rsid w:val="00AF5246"/>
    <w:rsid w:val="00B01071"/>
    <w:rsid w:val="00B036D7"/>
    <w:rsid w:val="00B03D84"/>
    <w:rsid w:val="00B13EBE"/>
    <w:rsid w:val="00B16F8F"/>
    <w:rsid w:val="00B26933"/>
    <w:rsid w:val="00B3702D"/>
    <w:rsid w:val="00B50237"/>
    <w:rsid w:val="00B5470A"/>
    <w:rsid w:val="00B70B30"/>
    <w:rsid w:val="00B91F1B"/>
    <w:rsid w:val="00BB674F"/>
    <w:rsid w:val="00BC0570"/>
    <w:rsid w:val="00BC1E9D"/>
    <w:rsid w:val="00BC7BAB"/>
    <w:rsid w:val="00C01DAB"/>
    <w:rsid w:val="00C1669F"/>
    <w:rsid w:val="00C36630"/>
    <w:rsid w:val="00C464B2"/>
    <w:rsid w:val="00C50398"/>
    <w:rsid w:val="00C63207"/>
    <w:rsid w:val="00C702AD"/>
    <w:rsid w:val="00C85044"/>
    <w:rsid w:val="00C85885"/>
    <w:rsid w:val="00C979F9"/>
    <w:rsid w:val="00CA0E21"/>
    <w:rsid w:val="00CC6480"/>
    <w:rsid w:val="00CD12F3"/>
    <w:rsid w:val="00CD2CB4"/>
    <w:rsid w:val="00CE4D66"/>
    <w:rsid w:val="00CF0B5D"/>
    <w:rsid w:val="00CF466D"/>
    <w:rsid w:val="00D1160A"/>
    <w:rsid w:val="00D11EBA"/>
    <w:rsid w:val="00D16B29"/>
    <w:rsid w:val="00D53DEE"/>
    <w:rsid w:val="00D616FC"/>
    <w:rsid w:val="00D6469D"/>
    <w:rsid w:val="00D90BCB"/>
    <w:rsid w:val="00DB06E8"/>
    <w:rsid w:val="00DC6A31"/>
    <w:rsid w:val="00DD51C6"/>
    <w:rsid w:val="00DE76ED"/>
    <w:rsid w:val="00DF3999"/>
    <w:rsid w:val="00DF3AC2"/>
    <w:rsid w:val="00DF3BC1"/>
    <w:rsid w:val="00E024FA"/>
    <w:rsid w:val="00E341FE"/>
    <w:rsid w:val="00E72770"/>
    <w:rsid w:val="00E74FA6"/>
    <w:rsid w:val="00E76B21"/>
    <w:rsid w:val="00E90052"/>
    <w:rsid w:val="00E95AB1"/>
    <w:rsid w:val="00EB116B"/>
    <w:rsid w:val="00EB1D27"/>
    <w:rsid w:val="00EC53F8"/>
    <w:rsid w:val="00F221D6"/>
    <w:rsid w:val="00F260B5"/>
    <w:rsid w:val="00F3446B"/>
    <w:rsid w:val="00F47EF5"/>
    <w:rsid w:val="00F53A1E"/>
    <w:rsid w:val="00F602C0"/>
    <w:rsid w:val="00F633A5"/>
    <w:rsid w:val="00F8462E"/>
    <w:rsid w:val="00F85210"/>
    <w:rsid w:val="00FA4C45"/>
    <w:rsid w:val="00FC20E3"/>
    <w:rsid w:val="00FD1FE2"/>
    <w:rsid w:val="00FD7E8E"/>
    <w:rsid w:val="00FE26F9"/>
    <w:rsid w:val="00FF3318"/>
    <w:rsid w:val="00FF640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BC"/>
    <w:pPr>
      <w:spacing w:before="120"/>
    </w:pPr>
    <w:rPr>
      <w:rFonts w:ascii="Bookman Old Style" w:eastAsia="Times New Roman" w:hAnsi="Bookman Old Style"/>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5F2ABC"/>
    <w:pPr>
      <w:spacing w:before="60" w:after="60"/>
      <w:ind w:left="1134"/>
    </w:pPr>
    <w:rPr>
      <w:lang w:eastAsia="fi-FI"/>
    </w:rPr>
  </w:style>
  <w:style w:type="character" w:customStyle="1" w:styleId="NormalIndentChar">
    <w:name w:val="Normal Indent Char"/>
    <w:link w:val="NormalIndent"/>
    <w:uiPriority w:val="99"/>
    <w:locked/>
    <w:rsid w:val="005F2ABC"/>
    <w:rPr>
      <w:rFonts w:ascii="Bookman Old Style" w:hAnsi="Bookman Old Style"/>
      <w:sz w:val="20"/>
    </w:rPr>
  </w:style>
  <w:style w:type="character" w:customStyle="1" w:styleId="separator">
    <w:name w:val="separator"/>
    <w:basedOn w:val="DefaultParagraphFont"/>
    <w:uiPriority w:val="99"/>
    <w:rsid w:val="005F2ABC"/>
    <w:rPr>
      <w:rFonts w:cs="Times New Roman"/>
    </w:rPr>
  </w:style>
  <w:style w:type="paragraph" w:styleId="FootnoteText">
    <w:name w:val="footnote text"/>
    <w:basedOn w:val="Normal"/>
    <w:link w:val="FootnoteTextChar"/>
    <w:uiPriority w:val="99"/>
    <w:rsid w:val="005F2ABC"/>
  </w:style>
  <w:style w:type="character" w:customStyle="1" w:styleId="FootnoteTextChar">
    <w:name w:val="Footnote Text Char"/>
    <w:basedOn w:val="DefaultParagraphFont"/>
    <w:link w:val="FootnoteText"/>
    <w:uiPriority w:val="99"/>
    <w:locked/>
    <w:rsid w:val="005F2ABC"/>
    <w:rPr>
      <w:rFonts w:ascii="Bookman Old Style" w:hAnsi="Bookman Old Style" w:cs="Times New Roman"/>
      <w:sz w:val="20"/>
      <w:szCs w:val="20"/>
    </w:rPr>
  </w:style>
  <w:style w:type="character" w:styleId="FootnoteReference">
    <w:name w:val="footnote reference"/>
    <w:basedOn w:val="DefaultParagraphFont"/>
    <w:uiPriority w:val="99"/>
    <w:rsid w:val="005F2AB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809</Words>
  <Characters>6553</Characters>
  <Application>Microsoft Office Outlook</Application>
  <DocSecurity>0</DocSecurity>
  <Lines>0</Lines>
  <Paragraphs>0</Paragraphs>
  <ScaleCrop>false</ScaleCrop>
  <Company>oph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HYVIEN KÄYTÄNTÖJEN VERKKOSOVELLUS, SYÖTTÖLOMAKE</dc:title>
  <dc:subject/>
  <dc:creator>Eeva-Kaisa Linna</dc:creator>
  <cp:keywords/>
  <dc:description/>
  <cp:lastModifiedBy>arjake</cp:lastModifiedBy>
  <cp:revision>2</cp:revision>
  <cp:lastPrinted>2012-01-04T11:15:00Z</cp:lastPrinted>
  <dcterms:created xsi:type="dcterms:W3CDTF">2012-06-05T10:49:00Z</dcterms:created>
  <dcterms:modified xsi:type="dcterms:W3CDTF">2012-06-05T10:49:00Z</dcterms:modified>
</cp:coreProperties>
</file>