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0C6" w:rsidRPr="009015C4" w:rsidRDefault="00837EAA" w:rsidP="00A91814">
      <w:pPr>
        <w:pStyle w:val="Footer"/>
        <w:jc w:val="center"/>
        <w:rPr>
          <w:rFonts w:ascii="Tw Cen MT" w:hAnsi="Tw Cen MT"/>
          <w:b/>
          <w:sz w:val="32"/>
          <w:szCs w:val="32"/>
        </w:rPr>
      </w:pPr>
      <w:r w:rsidRPr="009015C4">
        <w:rPr>
          <w:rFonts w:ascii="Tw Cen MT" w:hAnsi="Tw Cen MT"/>
          <w:b/>
          <w:sz w:val="32"/>
          <w:szCs w:val="32"/>
        </w:rPr>
        <w:t xml:space="preserve">Visiting the </w:t>
      </w:r>
      <w:r w:rsidR="000C60C6" w:rsidRPr="009015C4">
        <w:rPr>
          <w:rFonts w:ascii="Tw Cen MT" w:hAnsi="Tw Cen MT"/>
          <w:b/>
          <w:sz w:val="32"/>
          <w:szCs w:val="32"/>
        </w:rPr>
        <w:t xml:space="preserve">USF </w:t>
      </w:r>
      <w:r w:rsidR="005A03E0">
        <w:rPr>
          <w:rFonts w:ascii="Tw Cen MT" w:hAnsi="Tw Cen MT"/>
          <w:b/>
          <w:sz w:val="32"/>
          <w:szCs w:val="32"/>
        </w:rPr>
        <w:t xml:space="preserve">Tampa </w:t>
      </w:r>
      <w:r w:rsidR="000C60C6" w:rsidRPr="009015C4">
        <w:rPr>
          <w:rFonts w:ascii="Tw Cen MT" w:hAnsi="Tw Cen MT"/>
          <w:b/>
          <w:sz w:val="32"/>
          <w:szCs w:val="32"/>
        </w:rPr>
        <w:t>L</w:t>
      </w:r>
      <w:r w:rsidRPr="009015C4">
        <w:rPr>
          <w:rFonts w:ascii="Tw Cen MT" w:hAnsi="Tw Cen MT"/>
          <w:b/>
          <w:sz w:val="32"/>
          <w:szCs w:val="32"/>
        </w:rPr>
        <w:t>ibrary</w:t>
      </w:r>
    </w:p>
    <w:p w:rsidR="000C60C6" w:rsidRPr="00CE0144" w:rsidRDefault="000C60C6" w:rsidP="00837EAA">
      <w:pPr>
        <w:pStyle w:val="Footer"/>
        <w:rPr>
          <w:rFonts w:ascii="Tw Cen MT" w:hAnsi="Tw Cen MT"/>
        </w:rPr>
      </w:pPr>
    </w:p>
    <w:p w:rsidR="000C60C6" w:rsidRPr="00A91814" w:rsidRDefault="000C60C6" w:rsidP="00837EAA">
      <w:pPr>
        <w:pStyle w:val="Footer"/>
        <w:rPr>
          <w:rFonts w:ascii="Tw Cen MT" w:hAnsi="Tw Cen MT"/>
          <w:b/>
        </w:rPr>
      </w:pPr>
      <w:r w:rsidRPr="00A91814">
        <w:rPr>
          <w:rFonts w:ascii="Tw Cen MT" w:hAnsi="Tw Cen MT"/>
          <w:b/>
        </w:rPr>
        <w:t>Location</w:t>
      </w:r>
    </w:p>
    <w:p w:rsidR="00837EAA" w:rsidRPr="00CE0144" w:rsidRDefault="000C60C6" w:rsidP="00837EAA">
      <w:pPr>
        <w:pStyle w:val="Footer"/>
        <w:rPr>
          <w:rFonts w:ascii="Tw Cen MT" w:hAnsi="Tw Cen MT"/>
        </w:rPr>
      </w:pPr>
      <w:r w:rsidRPr="00CE0144">
        <w:rPr>
          <w:rFonts w:ascii="Tw Cen MT" w:hAnsi="Tw Cen MT"/>
        </w:rPr>
        <w:t xml:space="preserve">The </w:t>
      </w:r>
      <w:r w:rsidR="002D5A2B" w:rsidRPr="00CE0144">
        <w:rPr>
          <w:rFonts w:ascii="Tw Cen MT" w:hAnsi="Tw Cen MT"/>
        </w:rPr>
        <w:t xml:space="preserve">USF </w:t>
      </w:r>
      <w:r w:rsidR="00977D48">
        <w:rPr>
          <w:rFonts w:ascii="Tw Cen MT" w:hAnsi="Tw Cen MT"/>
        </w:rPr>
        <w:t xml:space="preserve">Tampa </w:t>
      </w:r>
      <w:r w:rsidRPr="00CE0144">
        <w:rPr>
          <w:rFonts w:ascii="Tw Cen MT" w:hAnsi="Tw Cen MT"/>
        </w:rPr>
        <w:t xml:space="preserve">library is located on the Tampa Campus. </w:t>
      </w:r>
      <w:r w:rsidR="00837EAA" w:rsidRPr="00CE0144">
        <w:rPr>
          <w:rFonts w:ascii="Tw Cen MT" w:hAnsi="Tw Cen MT"/>
        </w:rPr>
        <w:t xml:space="preserve"> </w:t>
      </w:r>
      <w:r w:rsidRPr="00CE0144">
        <w:rPr>
          <w:rFonts w:ascii="Tw Cen MT" w:hAnsi="Tw Cen MT"/>
        </w:rPr>
        <w:t>The main entrance to the university is on Fowler Ave. Visitor parking permits may be obtained at the Campus Information Center which is the first small building on the right after entering the campus. The six-story Tampa Campus Library is the first building north of the Campus Information Center. Parking restrictions are strictly enforced.</w:t>
      </w:r>
    </w:p>
    <w:p w:rsidR="00837EAA" w:rsidRPr="00CE0144" w:rsidRDefault="00837EAA" w:rsidP="00837EAA">
      <w:pPr>
        <w:pStyle w:val="Footer"/>
        <w:rPr>
          <w:rFonts w:ascii="Tw Cen MT" w:hAnsi="Tw Cen MT"/>
        </w:rPr>
      </w:pPr>
    </w:p>
    <w:p w:rsidR="00837EAA" w:rsidRPr="00A91814" w:rsidRDefault="000C60C6" w:rsidP="00837EAA">
      <w:pPr>
        <w:pStyle w:val="Footer"/>
        <w:rPr>
          <w:rFonts w:ascii="Tw Cen MT" w:hAnsi="Tw Cen MT"/>
          <w:b/>
        </w:rPr>
      </w:pPr>
      <w:r w:rsidRPr="00A91814">
        <w:rPr>
          <w:rFonts w:ascii="Tw Cen MT" w:hAnsi="Tw Cen MT"/>
          <w:b/>
        </w:rPr>
        <w:t xml:space="preserve">Library Hours </w:t>
      </w:r>
    </w:p>
    <w:p w:rsidR="000C60C6" w:rsidRPr="00CE0144" w:rsidRDefault="000C60C6" w:rsidP="00837EAA">
      <w:pPr>
        <w:pStyle w:val="Footer"/>
        <w:rPr>
          <w:rFonts w:ascii="Tw Cen MT" w:hAnsi="Tw Cen MT"/>
        </w:rPr>
      </w:pPr>
      <w:r w:rsidRPr="00CE0144">
        <w:rPr>
          <w:rFonts w:ascii="Tw Cen MT" w:hAnsi="Tw Cen MT"/>
        </w:rPr>
        <w:t xml:space="preserve">Monday-Thursday </w:t>
      </w:r>
      <w:r w:rsidR="00350EE1">
        <w:rPr>
          <w:rFonts w:ascii="Tw Cen MT" w:hAnsi="Tw Cen MT"/>
        </w:rPr>
        <w:t>Open 24 hours</w:t>
      </w:r>
    </w:p>
    <w:p w:rsidR="000C60C6" w:rsidRPr="00CE0144" w:rsidRDefault="000C60C6" w:rsidP="00837EAA">
      <w:pPr>
        <w:pStyle w:val="Footer"/>
        <w:rPr>
          <w:rFonts w:ascii="Tw Cen MT" w:hAnsi="Tw Cen MT"/>
        </w:rPr>
      </w:pPr>
      <w:r w:rsidRPr="00CE0144">
        <w:rPr>
          <w:rFonts w:ascii="Tw Cen MT" w:hAnsi="Tw Cen MT"/>
        </w:rPr>
        <w:t xml:space="preserve">Friday </w:t>
      </w:r>
      <w:r w:rsidR="00350EE1">
        <w:rPr>
          <w:rFonts w:ascii="Tw Cen MT" w:hAnsi="Tw Cen MT"/>
        </w:rPr>
        <w:t xml:space="preserve">Closes at </w:t>
      </w:r>
      <w:proofErr w:type="spellStart"/>
      <w:r w:rsidRPr="00CE0144">
        <w:rPr>
          <w:rFonts w:ascii="Tw Cen MT" w:hAnsi="Tw Cen MT"/>
        </w:rPr>
        <w:t>6:00pm</w:t>
      </w:r>
      <w:proofErr w:type="spellEnd"/>
    </w:p>
    <w:p w:rsidR="000C60C6" w:rsidRPr="00CE0144" w:rsidRDefault="000C60C6" w:rsidP="00837EAA">
      <w:pPr>
        <w:pStyle w:val="Footer"/>
        <w:rPr>
          <w:rFonts w:ascii="Tw Cen MT" w:hAnsi="Tw Cen MT"/>
        </w:rPr>
      </w:pPr>
      <w:r w:rsidRPr="00CE0144">
        <w:rPr>
          <w:rFonts w:ascii="Tw Cen MT" w:hAnsi="Tw Cen MT"/>
        </w:rPr>
        <w:t xml:space="preserve">Saturday </w:t>
      </w:r>
      <w:proofErr w:type="spellStart"/>
      <w:r w:rsidRPr="00CE0144">
        <w:rPr>
          <w:rFonts w:ascii="Tw Cen MT" w:hAnsi="Tw Cen MT"/>
        </w:rPr>
        <w:t>10:00am-6:00pm</w:t>
      </w:r>
      <w:proofErr w:type="spellEnd"/>
    </w:p>
    <w:p w:rsidR="000C60C6" w:rsidRPr="00CE0144" w:rsidRDefault="000C60C6" w:rsidP="00837EAA">
      <w:pPr>
        <w:pStyle w:val="Footer"/>
        <w:rPr>
          <w:rFonts w:ascii="Tw Cen MT" w:hAnsi="Tw Cen MT"/>
        </w:rPr>
      </w:pPr>
      <w:r w:rsidRPr="00CE0144">
        <w:rPr>
          <w:rFonts w:ascii="Tw Cen MT" w:hAnsi="Tw Cen MT"/>
        </w:rPr>
        <w:t xml:space="preserve">Sunday </w:t>
      </w:r>
      <w:r w:rsidR="00350EE1">
        <w:rPr>
          <w:rFonts w:ascii="Tw Cen MT" w:hAnsi="Tw Cen MT"/>
        </w:rPr>
        <w:t>Opens at Noon- No closing</w:t>
      </w:r>
    </w:p>
    <w:p w:rsidR="003D3174" w:rsidRDefault="003D3174" w:rsidP="00837EAA">
      <w:pPr>
        <w:pStyle w:val="Footer"/>
        <w:rPr>
          <w:rFonts w:ascii="Tw Cen MT" w:hAnsi="Tw Cen MT"/>
        </w:rPr>
      </w:pPr>
    </w:p>
    <w:p w:rsidR="000C60C6" w:rsidRPr="00CE0144" w:rsidRDefault="00A91814" w:rsidP="00837EAA">
      <w:pPr>
        <w:pStyle w:val="Footer"/>
        <w:rPr>
          <w:rFonts w:ascii="Tw Cen MT" w:hAnsi="Tw Cen MT"/>
        </w:rPr>
      </w:pPr>
      <w:r>
        <w:rPr>
          <w:rFonts w:ascii="Tw Cen MT" w:hAnsi="Tw Cen MT"/>
        </w:rPr>
        <w:t>H</w:t>
      </w:r>
      <w:r w:rsidR="000C60C6" w:rsidRPr="00CE0144">
        <w:rPr>
          <w:rFonts w:ascii="Tw Cen MT" w:hAnsi="Tw Cen MT"/>
        </w:rPr>
        <w:t>ours are subject to change. Chec</w:t>
      </w:r>
      <w:r w:rsidR="0034509B">
        <w:rPr>
          <w:rFonts w:ascii="Tw Cen MT" w:hAnsi="Tw Cen MT"/>
        </w:rPr>
        <w:t>k the website for current hours. The library is closed on state holidays</w:t>
      </w:r>
      <w:r w:rsidR="003D3174">
        <w:rPr>
          <w:rFonts w:ascii="Tw Cen MT" w:hAnsi="Tw Cen MT"/>
        </w:rPr>
        <w:t xml:space="preserve"> and hours are changed during spring break and intersession weeks.</w:t>
      </w:r>
    </w:p>
    <w:p w:rsidR="003D3174" w:rsidRDefault="003D3174" w:rsidP="003D3174">
      <w:pPr>
        <w:pStyle w:val="Footer"/>
        <w:rPr>
          <w:rFonts w:ascii="Tw Cen MT" w:hAnsi="Tw Cen MT"/>
          <w:b/>
        </w:rPr>
      </w:pPr>
    </w:p>
    <w:p w:rsidR="003D3174" w:rsidRDefault="000C60C6" w:rsidP="003D3174">
      <w:pPr>
        <w:pStyle w:val="Footer"/>
        <w:rPr>
          <w:rFonts w:ascii="Tw Cen MT" w:hAnsi="Tw Cen MT"/>
          <w:b/>
        </w:rPr>
      </w:pPr>
      <w:r w:rsidRPr="00A91814">
        <w:rPr>
          <w:rFonts w:ascii="Tw Cen MT" w:hAnsi="Tw Cen MT"/>
          <w:b/>
        </w:rPr>
        <w:t>Library Cards</w:t>
      </w:r>
    </w:p>
    <w:p w:rsidR="0034509B" w:rsidRDefault="000C60C6" w:rsidP="003D3174">
      <w:pPr>
        <w:pStyle w:val="Footer"/>
        <w:rPr>
          <w:rFonts w:ascii="Tw Cen MT" w:hAnsi="Tw Cen MT"/>
        </w:rPr>
      </w:pPr>
      <w:r w:rsidRPr="00CE0144">
        <w:rPr>
          <w:rFonts w:ascii="Tw Cen MT" w:hAnsi="Tw Cen MT"/>
        </w:rPr>
        <w:t xml:space="preserve">Your library card </w:t>
      </w:r>
      <w:r w:rsidR="002D5A2B" w:rsidRPr="00CE0144">
        <w:rPr>
          <w:rFonts w:ascii="Tw Cen MT" w:hAnsi="Tw Cen MT"/>
        </w:rPr>
        <w:t xml:space="preserve">allows you to check out up to 10 items from the circulating collection of the USF Library. </w:t>
      </w:r>
      <w:r w:rsidR="0034509B" w:rsidRPr="00CE0144">
        <w:rPr>
          <w:rFonts w:ascii="Tw Cen MT" w:hAnsi="Tw Cen MT"/>
        </w:rPr>
        <w:t xml:space="preserve">This does not include items in the media collection, reserves, or non-circulating collections. </w:t>
      </w:r>
      <w:r w:rsidR="0000701B">
        <w:rPr>
          <w:rFonts w:ascii="Tw Cen MT" w:hAnsi="Tw Cen MT"/>
        </w:rPr>
        <w:t>The circulating collection is located on the third, fourth and fifth floors of the library.</w:t>
      </w:r>
    </w:p>
    <w:p w:rsidR="0034509B" w:rsidRDefault="0034509B" w:rsidP="0034509B">
      <w:pPr>
        <w:pStyle w:val="Footer"/>
        <w:rPr>
          <w:rFonts w:ascii="Tw Cen MT" w:hAnsi="Tw Cen MT"/>
        </w:rPr>
      </w:pPr>
    </w:p>
    <w:p w:rsidR="0034509B" w:rsidRDefault="002D5A2B" w:rsidP="0034509B">
      <w:pPr>
        <w:pStyle w:val="Footer"/>
        <w:rPr>
          <w:rFonts w:ascii="Tw Cen MT" w:hAnsi="Tw Cen MT"/>
        </w:rPr>
      </w:pPr>
      <w:r w:rsidRPr="00CE0144">
        <w:rPr>
          <w:rFonts w:ascii="Tw Cen MT" w:hAnsi="Tw Cen MT"/>
        </w:rPr>
        <w:t xml:space="preserve">Books can be checked out for </w:t>
      </w:r>
      <w:r w:rsidR="003A4CB5">
        <w:rPr>
          <w:rFonts w:ascii="Tw Cen MT" w:hAnsi="Tw Cen MT"/>
        </w:rPr>
        <w:t>three</w:t>
      </w:r>
      <w:r w:rsidRPr="00CE0144">
        <w:rPr>
          <w:rFonts w:ascii="Tw Cen MT" w:hAnsi="Tw Cen MT"/>
        </w:rPr>
        <w:t xml:space="preserve"> weeks</w:t>
      </w:r>
      <w:r w:rsidR="0034509B">
        <w:rPr>
          <w:rFonts w:ascii="Tw Cen MT" w:hAnsi="Tw Cen MT"/>
        </w:rPr>
        <w:t xml:space="preserve"> and renewed once, as long as there are no holds on the item</w:t>
      </w:r>
      <w:r w:rsidRPr="00CE0144">
        <w:rPr>
          <w:rFonts w:ascii="Tw Cen MT" w:hAnsi="Tw Cen MT"/>
        </w:rPr>
        <w:t xml:space="preserve">. </w:t>
      </w:r>
      <w:r w:rsidR="0034509B">
        <w:rPr>
          <w:rFonts w:ascii="Tw Cen MT" w:hAnsi="Tw Cen MT"/>
        </w:rPr>
        <w:t xml:space="preserve">Renewals are done online through the library catalog. If you have problems, call the circulation desk at 974-1611. </w:t>
      </w:r>
      <w:r w:rsidRPr="00CE0144">
        <w:rPr>
          <w:rFonts w:ascii="Tw Cen MT" w:hAnsi="Tw Cen MT"/>
        </w:rPr>
        <w:t>Items currently checked out cannot be placed on hold or recalled.</w:t>
      </w:r>
    </w:p>
    <w:p w:rsidR="0000701B" w:rsidRDefault="0000701B" w:rsidP="0034509B">
      <w:pPr>
        <w:pStyle w:val="Footer"/>
        <w:rPr>
          <w:rFonts w:ascii="Tw Cen MT" w:hAnsi="Tw Cen MT"/>
        </w:rPr>
      </w:pPr>
    </w:p>
    <w:p w:rsidR="000C60C6" w:rsidRPr="00CE0144" w:rsidRDefault="002D5A2B" w:rsidP="0034509B">
      <w:pPr>
        <w:pStyle w:val="Footer"/>
        <w:rPr>
          <w:rFonts w:ascii="Tw Cen MT" w:hAnsi="Tw Cen MT"/>
        </w:rPr>
      </w:pPr>
      <w:r w:rsidRPr="00CE0144">
        <w:rPr>
          <w:rFonts w:ascii="Tw Cen MT" w:hAnsi="Tw Cen MT"/>
        </w:rPr>
        <w:t xml:space="preserve">Interlibrary loan services are not available. Your library card is valid only at the USF Library on the Tampa campus and does not include privileges at the </w:t>
      </w:r>
      <w:proofErr w:type="spellStart"/>
      <w:r w:rsidRPr="00CE0144">
        <w:rPr>
          <w:rFonts w:ascii="Tw Cen MT" w:hAnsi="Tw Cen MT"/>
        </w:rPr>
        <w:t>Shimberg</w:t>
      </w:r>
      <w:proofErr w:type="spellEnd"/>
      <w:r w:rsidRPr="00CE0144">
        <w:rPr>
          <w:rFonts w:ascii="Tw Cen MT" w:hAnsi="Tw Cen MT"/>
        </w:rPr>
        <w:t xml:space="preserve"> Health Sciences Library, De la Parte Florida Mental Health Institute Library or libraries at USF Sarasota</w:t>
      </w:r>
      <w:r w:rsidR="005A03E0">
        <w:rPr>
          <w:rFonts w:ascii="Tw Cen MT" w:hAnsi="Tw Cen MT"/>
        </w:rPr>
        <w:t>-Manatee</w:t>
      </w:r>
      <w:r w:rsidRPr="00CE0144">
        <w:rPr>
          <w:rFonts w:ascii="Tw Cen MT" w:hAnsi="Tw Cen MT"/>
        </w:rPr>
        <w:t xml:space="preserve">, USF </w:t>
      </w:r>
      <w:r w:rsidR="005A03E0">
        <w:rPr>
          <w:rFonts w:ascii="Tw Cen MT" w:hAnsi="Tw Cen MT"/>
        </w:rPr>
        <w:t>St. Petersburg, and USF Polytechnic</w:t>
      </w:r>
      <w:r w:rsidRPr="00CE0144">
        <w:rPr>
          <w:rFonts w:ascii="Tw Cen MT" w:hAnsi="Tw Cen MT"/>
        </w:rPr>
        <w:t xml:space="preserve">. </w:t>
      </w:r>
    </w:p>
    <w:p w:rsidR="002D5A2B" w:rsidRPr="00CE0144" w:rsidRDefault="002D5A2B" w:rsidP="00837EAA">
      <w:pPr>
        <w:pStyle w:val="Footer"/>
        <w:rPr>
          <w:rFonts w:ascii="Tw Cen MT" w:hAnsi="Tw Cen MT"/>
        </w:rPr>
      </w:pPr>
    </w:p>
    <w:p w:rsidR="002D5A2B" w:rsidRDefault="002D5A2B" w:rsidP="00837EAA">
      <w:pPr>
        <w:pStyle w:val="Footer"/>
        <w:rPr>
          <w:rFonts w:ascii="Tw Cen MT" w:hAnsi="Tw Cen MT"/>
          <w:b/>
        </w:rPr>
      </w:pPr>
      <w:r w:rsidRPr="00A91814">
        <w:rPr>
          <w:rFonts w:ascii="Tw Cen MT" w:hAnsi="Tw Cen MT"/>
          <w:b/>
        </w:rPr>
        <w:t>Access to Computers, Printing, Copying</w:t>
      </w:r>
    </w:p>
    <w:p w:rsidR="003D3174" w:rsidRDefault="00933DE1" w:rsidP="00837EAA">
      <w:pPr>
        <w:pStyle w:val="Footer"/>
        <w:rPr>
          <w:rFonts w:ascii="Tw Cen MT" w:hAnsi="Tw Cen MT"/>
        </w:rPr>
      </w:pPr>
      <w:r>
        <w:rPr>
          <w:rFonts w:ascii="Tw Cen MT" w:hAnsi="Tw Cen MT"/>
        </w:rPr>
        <w:t>Non-USF student a</w:t>
      </w:r>
      <w:r w:rsidR="003D3174">
        <w:rPr>
          <w:rFonts w:ascii="Tw Cen MT" w:hAnsi="Tw Cen MT"/>
        </w:rPr>
        <w:t>ccess to computers is restricted</w:t>
      </w:r>
      <w:r>
        <w:rPr>
          <w:rFonts w:ascii="Tw Cen MT" w:hAnsi="Tw Cen MT"/>
        </w:rPr>
        <w:t>.</w:t>
      </w:r>
      <w:r w:rsidR="003D3174">
        <w:rPr>
          <w:rFonts w:ascii="Tw Cen MT" w:hAnsi="Tw Cen MT"/>
        </w:rPr>
        <w:t xml:space="preserve"> Small groups of public access computers are av</w:t>
      </w:r>
      <w:r w:rsidR="005A03E0">
        <w:rPr>
          <w:rFonts w:ascii="Tw Cen MT" w:hAnsi="Tw Cen MT"/>
        </w:rPr>
        <w:t xml:space="preserve">ailable on the first </w:t>
      </w:r>
      <w:r w:rsidR="003D3174">
        <w:rPr>
          <w:rFonts w:ascii="Tw Cen MT" w:hAnsi="Tw Cen MT"/>
        </w:rPr>
        <w:t xml:space="preserve">floor of the library. </w:t>
      </w:r>
      <w:r w:rsidR="00350EE1">
        <w:rPr>
          <w:rFonts w:ascii="Tw Cen MT" w:hAnsi="Tw Cen MT"/>
        </w:rPr>
        <w:t xml:space="preserve">Make sure you bring a </w:t>
      </w:r>
      <w:r w:rsidR="0000701B">
        <w:rPr>
          <w:rFonts w:ascii="Tw Cen MT" w:hAnsi="Tw Cen MT"/>
        </w:rPr>
        <w:t xml:space="preserve">flash drive if you want to save/download documents. </w:t>
      </w:r>
      <w:r w:rsidR="00350EE1">
        <w:rPr>
          <w:rFonts w:ascii="Tw Cen MT" w:hAnsi="Tw Cen MT"/>
        </w:rPr>
        <w:t>Bring identification (driver’s license, Florida ID , student ID, etc.)</w:t>
      </w:r>
    </w:p>
    <w:p w:rsidR="00322023" w:rsidRDefault="00322023" w:rsidP="00837EAA">
      <w:pPr>
        <w:pStyle w:val="Footer"/>
        <w:rPr>
          <w:rFonts w:ascii="Tw Cen MT" w:hAnsi="Tw Cen MT"/>
        </w:rPr>
      </w:pPr>
    </w:p>
    <w:p w:rsidR="00322023" w:rsidRPr="003D3174" w:rsidRDefault="00322023" w:rsidP="00837EAA">
      <w:pPr>
        <w:pStyle w:val="Footer"/>
        <w:rPr>
          <w:rFonts w:ascii="Tw Cen MT" w:hAnsi="Tw Cen MT"/>
        </w:rPr>
      </w:pPr>
      <w:r>
        <w:rPr>
          <w:rFonts w:ascii="Tw Cen MT" w:hAnsi="Tw Cen MT"/>
        </w:rPr>
        <w:t xml:space="preserve">Printers and copy machines are available on the first and second floors. </w:t>
      </w:r>
      <w:r w:rsidR="0000701B">
        <w:rPr>
          <w:rFonts w:ascii="Tw Cen MT" w:hAnsi="Tw Cen MT"/>
        </w:rPr>
        <w:t xml:space="preserve">The cost of printing is 11 cents per page for black and white and 30 cents per page for color. </w:t>
      </w:r>
      <w:r>
        <w:rPr>
          <w:rFonts w:ascii="Tw Cen MT" w:hAnsi="Tw Cen MT"/>
        </w:rPr>
        <w:t xml:space="preserve">All printing and copying must be done </w:t>
      </w:r>
      <w:r w:rsidR="0000701B">
        <w:rPr>
          <w:rFonts w:ascii="Tw Cen MT" w:hAnsi="Tw Cen MT"/>
        </w:rPr>
        <w:t xml:space="preserve">using </w:t>
      </w:r>
      <w:r>
        <w:rPr>
          <w:rFonts w:ascii="Tw Cen MT" w:hAnsi="Tw Cen MT"/>
        </w:rPr>
        <w:t xml:space="preserve">a guest card, which can be purchased from the copy card machine on the first floor next to the printers. </w:t>
      </w:r>
      <w:r w:rsidR="0000701B">
        <w:rPr>
          <w:rFonts w:ascii="Tw Cen MT" w:hAnsi="Tw Cen MT"/>
        </w:rPr>
        <w:t xml:space="preserve">The cost of the guest card is $1.00. Value must then be added to the card in order to print or copy. The card can be reused each time you visit the library. The copy card machine will allow you to add value to your card. The copy card machine takes bills only and does not give change. The library cannot make change. </w:t>
      </w:r>
    </w:p>
    <w:p w:rsidR="002D5A2B" w:rsidRPr="00CE0144" w:rsidRDefault="002D5A2B" w:rsidP="00837EAA">
      <w:pPr>
        <w:pStyle w:val="Footer"/>
        <w:rPr>
          <w:rFonts w:ascii="Tw Cen MT" w:hAnsi="Tw Cen MT"/>
        </w:rPr>
      </w:pPr>
    </w:p>
    <w:p w:rsidR="002D5A2B" w:rsidRPr="00CE0144" w:rsidRDefault="002D5A2B" w:rsidP="00837EAA">
      <w:pPr>
        <w:pStyle w:val="Footer"/>
        <w:rPr>
          <w:rFonts w:ascii="Tw Cen MT" w:hAnsi="Tw Cen MT"/>
        </w:rPr>
      </w:pPr>
    </w:p>
    <w:p w:rsidR="002D5A2B" w:rsidRPr="00A91814" w:rsidRDefault="002D5A2B" w:rsidP="00A91814">
      <w:pPr>
        <w:pStyle w:val="Footer"/>
        <w:jc w:val="center"/>
        <w:rPr>
          <w:rFonts w:ascii="Tw Cen MT" w:hAnsi="Tw Cen MT"/>
          <w:b/>
          <w:sz w:val="28"/>
          <w:szCs w:val="28"/>
        </w:rPr>
      </w:pPr>
      <w:r w:rsidRPr="00A91814">
        <w:rPr>
          <w:rFonts w:ascii="Tw Cen MT" w:hAnsi="Tw Cen MT"/>
          <w:b/>
          <w:sz w:val="28"/>
          <w:szCs w:val="28"/>
        </w:rPr>
        <w:lastRenderedPageBreak/>
        <w:t>Resources at the USF Library</w:t>
      </w:r>
    </w:p>
    <w:p w:rsidR="002D5A2B" w:rsidRPr="00CE0144" w:rsidRDefault="002D5A2B" w:rsidP="00837EAA">
      <w:pPr>
        <w:pStyle w:val="Footer"/>
        <w:rPr>
          <w:rFonts w:ascii="Tw Cen MT" w:hAnsi="Tw Cen MT"/>
        </w:rPr>
      </w:pPr>
    </w:p>
    <w:p w:rsidR="009015C4" w:rsidRDefault="009015C4" w:rsidP="009015C4">
      <w:pPr>
        <w:pStyle w:val="Footer"/>
        <w:rPr>
          <w:rFonts w:ascii="Tw Cen MT" w:hAnsi="Tw Cen MT"/>
          <w:b/>
        </w:rPr>
      </w:pPr>
      <w:r w:rsidRPr="00A91814">
        <w:rPr>
          <w:rFonts w:ascii="Tw Cen MT" w:hAnsi="Tw Cen MT"/>
          <w:b/>
        </w:rPr>
        <w:t>Remote Access</w:t>
      </w:r>
      <w:r>
        <w:rPr>
          <w:rFonts w:ascii="Tw Cen MT" w:hAnsi="Tw Cen MT"/>
          <w:b/>
        </w:rPr>
        <w:t xml:space="preserve"> to the Library Website</w:t>
      </w:r>
    </w:p>
    <w:p w:rsidR="009015C4" w:rsidRPr="00A91814" w:rsidRDefault="009015C4" w:rsidP="009015C4">
      <w:pPr>
        <w:pStyle w:val="Footer"/>
        <w:rPr>
          <w:rFonts w:ascii="Tw Cen MT" w:hAnsi="Tw Cen MT"/>
          <w:b/>
        </w:rPr>
      </w:pPr>
      <w:r w:rsidRPr="003D3174">
        <w:rPr>
          <w:rFonts w:ascii="Tw Cen MT" w:hAnsi="Tw Cen MT"/>
        </w:rPr>
        <w:t xml:space="preserve">Remote access to databases, e-journals and e-books is not available to non-USF users. The library catalog is available for searching from the library website, </w:t>
      </w:r>
      <w:hyperlink r:id="rId5" w:history="1">
        <w:r w:rsidRPr="003D3174">
          <w:rPr>
            <w:rStyle w:val="Hyperlink"/>
            <w:rFonts w:ascii="Tw Cen MT" w:hAnsi="Tw Cen MT"/>
          </w:rPr>
          <w:t>www.lib.usf.edu</w:t>
        </w:r>
      </w:hyperlink>
      <w:r>
        <w:rPr>
          <w:rFonts w:ascii="Tw Cen MT" w:hAnsi="Tw Cen MT"/>
          <w:b/>
        </w:rPr>
        <w:t xml:space="preserve">. </w:t>
      </w:r>
    </w:p>
    <w:p w:rsidR="009015C4" w:rsidRPr="00CE0144" w:rsidRDefault="009015C4" w:rsidP="009015C4">
      <w:pPr>
        <w:pStyle w:val="Footer"/>
        <w:rPr>
          <w:rFonts w:ascii="Tw Cen MT" w:hAnsi="Tw Cen MT"/>
        </w:rPr>
      </w:pPr>
    </w:p>
    <w:p w:rsidR="00DA24F2" w:rsidRPr="00933DE1" w:rsidRDefault="00A91814" w:rsidP="00DA24F2">
      <w:pPr>
        <w:rPr>
          <w:rFonts w:ascii="Tw Cen MT" w:hAnsi="Tw Cen MT"/>
          <w:b/>
          <w:szCs w:val="24"/>
        </w:rPr>
      </w:pPr>
      <w:r w:rsidRPr="00933DE1">
        <w:rPr>
          <w:rFonts w:ascii="Tw Cen MT" w:hAnsi="Tw Cen MT"/>
          <w:b/>
          <w:szCs w:val="24"/>
        </w:rPr>
        <w:t>Finding Books</w:t>
      </w:r>
      <w:r w:rsidR="003D3174" w:rsidRPr="00933DE1">
        <w:rPr>
          <w:rFonts w:ascii="Tw Cen MT" w:hAnsi="Tw Cen MT"/>
          <w:b/>
          <w:szCs w:val="24"/>
        </w:rPr>
        <w:t xml:space="preserve"> using the </w:t>
      </w:r>
      <w:r w:rsidR="00DA24F2" w:rsidRPr="00933DE1">
        <w:rPr>
          <w:rFonts w:ascii="Tw Cen MT" w:hAnsi="Tw Cen MT"/>
          <w:b/>
          <w:szCs w:val="24"/>
        </w:rPr>
        <w:t>Online Catalog</w:t>
      </w:r>
    </w:p>
    <w:p w:rsidR="00DA24F2" w:rsidRPr="00CE0144" w:rsidRDefault="00DA24F2" w:rsidP="00DA24F2">
      <w:pPr>
        <w:pStyle w:val="ListParagraph"/>
        <w:numPr>
          <w:ilvl w:val="0"/>
          <w:numId w:val="1"/>
        </w:numPr>
        <w:rPr>
          <w:rFonts w:ascii="Tw Cen MT" w:hAnsi="Tw Cen MT"/>
          <w:szCs w:val="24"/>
        </w:rPr>
      </w:pPr>
      <w:r w:rsidRPr="00CE0144">
        <w:rPr>
          <w:rFonts w:ascii="Tw Cen MT" w:hAnsi="Tw Cen MT"/>
          <w:szCs w:val="24"/>
        </w:rPr>
        <w:t>Books, media, government publications</w:t>
      </w:r>
    </w:p>
    <w:p w:rsidR="00DA24F2" w:rsidRDefault="00DA24F2" w:rsidP="00DA24F2">
      <w:pPr>
        <w:pStyle w:val="ListParagraph"/>
        <w:numPr>
          <w:ilvl w:val="0"/>
          <w:numId w:val="1"/>
        </w:numPr>
        <w:rPr>
          <w:rFonts w:ascii="Tw Cen MT" w:hAnsi="Tw Cen MT"/>
          <w:szCs w:val="24"/>
        </w:rPr>
      </w:pPr>
      <w:r w:rsidRPr="00CE0144">
        <w:rPr>
          <w:rFonts w:ascii="Tw Cen MT" w:hAnsi="Tw Cen MT"/>
          <w:szCs w:val="24"/>
        </w:rPr>
        <w:t>E-books ( in library use only)</w:t>
      </w:r>
    </w:p>
    <w:p w:rsidR="00A91814" w:rsidRDefault="00A91814" w:rsidP="00DA24F2">
      <w:pPr>
        <w:pStyle w:val="ListParagraph"/>
        <w:numPr>
          <w:ilvl w:val="0"/>
          <w:numId w:val="1"/>
        </w:numPr>
        <w:rPr>
          <w:rFonts w:ascii="Tw Cen MT" w:hAnsi="Tw Cen MT"/>
          <w:szCs w:val="24"/>
        </w:rPr>
      </w:pPr>
      <w:r>
        <w:rPr>
          <w:rFonts w:ascii="Tw Cen MT" w:hAnsi="Tw Cen MT"/>
          <w:szCs w:val="24"/>
        </w:rPr>
        <w:t>Searchable by author, title, subject, keyword</w:t>
      </w:r>
    </w:p>
    <w:p w:rsidR="00DA24F2" w:rsidRPr="00CE0144" w:rsidRDefault="00DA24F2" w:rsidP="00DA24F2">
      <w:pPr>
        <w:pStyle w:val="ListParagraph"/>
        <w:ind w:left="0"/>
        <w:rPr>
          <w:rFonts w:ascii="Tw Cen MT" w:hAnsi="Tw Cen MT"/>
          <w:szCs w:val="24"/>
        </w:rPr>
      </w:pPr>
    </w:p>
    <w:p w:rsidR="00A91814" w:rsidRPr="00322023" w:rsidRDefault="00A91814" w:rsidP="00DA24F2">
      <w:pPr>
        <w:rPr>
          <w:rFonts w:ascii="Tw Cen MT" w:hAnsi="Tw Cen MT"/>
          <w:b/>
          <w:szCs w:val="24"/>
        </w:rPr>
      </w:pPr>
      <w:r w:rsidRPr="00322023">
        <w:rPr>
          <w:rFonts w:ascii="Tw Cen MT" w:hAnsi="Tw Cen MT"/>
          <w:b/>
          <w:szCs w:val="24"/>
        </w:rPr>
        <w:t xml:space="preserve">Finding </w:t>
      </w:r>
      <w:r w:rsidR="009603F5" w:rsidRPr="00322023">
        <w:rPr>
          <w:rFonts w:ascii="Tw Cen MT" w:hAnsi="Tw Cen MT"/>
          <w:b/>
          <w:szCs w:val="24"/>
        </w:rPr>
        <w:t xml:space="preserve">Journal </w:t>
      </w:r>
      <w:r w:rsidRPr="00322023">
        <w:rPr>
          <w:rFonts w:ascii="Tw Cen MT" w:hAnsi="Tw Cen MT"/>
          <w:b/>
          <w:szCs w:val="24"/>
        </w:rPr>
        <w:t>Articles</w:t>
      </w:r>
      <w:r w:rsidR="003D3174" w:rsidRPr="00322023">
        <w:rPr>
          <w:rFonts w:ascii="Tw Cen MT" w:hAnsi="Tw Cen MT"/>
          <w:b/>
          <w:szCs w:val="24"/>
        </w:rPr>
        <w:t xml:space="preserve"> using the Databases</w:t>
      </w:r>
      <w:r w:rsidR="009603F5" w:rsidRPr="00322023">
        <w:rPr>
          <w:rFonts w:ascii="Tw Cen MT" w:hAnsi="Tw Cen MT"/>
          <w:b/>
          <w:szCs w:val="24"/>
        </w:rPr>
        <w:t xml:space="preserve"> (in library use only)</w:t>
      </w:r>
    </w:p>
    <w:p w:rsidR="00A91814" w:rsidRPr="00CE0144" w:rsidRDefault="00A91814" w:rsidP="00A91814">
      <w:pPr>
        <w:numPr>
          <w:ilvl w:val="0"/>
          <w:numId w:val="12"/>
        </w:numPr>
        <w:rPr>
          <w:rFonts w:ascii="Tw Cen MT" w:hAnsi="Tw Cen MT"/>
          <w:szCs w:val="24"/>
        </w:rPr>
      </w:pPr>
      <w:r>
        <w:rPr>
          <w:rFonts w:ascii="Tw Cen MT" w:hAnsi="Tw Cen MT"/>
          <w:szCs w:val="24"/>
        </w:rPr>
        <w:t>Click on the “Databases by Title/Subject”</w:t>
      </w:r>
      <w:r w:rsidR="00322023">
        <w:rPr>
          <w:rFonts w:ascii="Tw Cen MT" w:hAnsi="Tw Cen MT"/>
          <w:szCs w:val="24"/>
        </w:rPr>
        <w:t>, then choose the Subject tab</w:t>
      </w:r>
    </w:p>
    <w:p w:rsidR="00DA24F2" w:rsidRDefault="00A91814" w:rsidP="00DA24F2">
      <w:pPr>
        <w:pStyle w:val="ListParagraph"/>
        <w:numPr>
          <w:ilvl w:val="0"/>
          <w:numId w:val="2"/>
        </w:numPr>
        <w:rPr>
          <w:rFonts w:ascii="Tw Cen MT" w:hAnsi="Tw Cen MT"/>
          <w:szCs w:val="24"/>
        </w:rPr>
      </w:pPr>
      <w:r>
        <w:rPr>
          <w:rFonts w:ascii="Tw Cen MT" w:hAnsi="Tw Cen MT"/>
          <w:szCs w:val="24"/>
        </w:rPr>
        <w:t xml:space="preserve">General and Multidisciplinary databases are a good place to start. include Academic Search Premier, Wilson </w:t>
      </w:r>
      <w:proofErr w:type="spellStart"/>
      <w:r>
        <w:rPr>
          <w:rFonts w:ascii="Tw Cen MT" w:hAnsi="Tw Cen MT"/>
          <w:szCs w:val="24"/>
        </w:rPr>
        <w:t>Omnifile</w:t>
      </w:r>
      <w:proofErr w:type="spellEnd"/>
      <w:r w:rsidR="00322023">
        <w:rPr>
          <w:rFonts w:ascii="Tw Cen MT" w:hAnsi="Tw Cen MT"/>
          <w:szCs w:val="24"/>
        </w:rPr>
        <w:t>, Lexis/</w:t>
      </w:r>
      <w:proofErr w:type="spellStart"/>
      <w:r w:rsidR="00322023">
        <w:rPr>
          <w:rFonts w:ascii="Tw Cen MT" w:hAnsi="Tw Cen MT"/>
          <w:szCs w:val="24"/>
        </w:rPr>
        <w:t>Nexis</w:t>
      </w:r>
      <w:proofErr w:type="spellEnd"/>
    </w:p>
    <w:p w:rsidR="00A91814" w:rsidRDefault="00A91814" w:rsidP="00DA24F2">
      <w:pPr>
        <w:pStyle w:val="ListParagraph"/>
        <w:numPr>
          <w:ilvl w:val="0"/>
          <w:numId w:val="2"/>
        </w:numPr>
        <w:rPr>
          <w:rFonts w:ascii="Tw Cen MT" w:hAnsi="Tw Cen MT"/>
          <w:szCs w:val="24"/>
        </w:rPr>
      </w:pPr>
      <w:r>
        <w:rPr>
          <w:rFonts w:ascii="Tw Cen MT" w:hAnsi="Tw Cen MT"/>
          <w:szCs w:val="24"/>
        </w:rPr>
        <w:t>Subject related data</w:t>
      </w:r>
      <w:r w:rsidR="00322023">
        <w:rPr>
          <w:rFonts w:ascii="Tw Cen MT" w:hAnsi="Tw Cen MT"/>
          <w:szCs w:val="24"/>
        </w:rPr>
        <w:t xml:space="preserve">bases contain discipline specific articles. </w:t>
      </w:r>
    </w:p>
    <w:p w:rsidR="00322023" w:rsidRPr="00CE0144" w:rsidRDefault="00322023" w:rsidP="00322023">
      <w:pPr>
        <w:pStyle w:val="ListParagraph"/>
        <w:numPr>
          <w:ilvl w:val="0"/>
          <w:numId w:val="4"/>
        </w:numPr>
        <w:spacing w:before="100" w:beforeAutospacing="1" w:after="100" w:afterAutospacing="1"/>
        <w:rPr>
          <w:rFonts w:ascii="Tw Cen MT" w:hAnsi="Tw Cen MT" w:cs="Arial"/>
          <w:szCs w:val="24"/>
        </w:rPr>
      </w:pPr>
      <w:r>
        <w:rPr>
          <w:rFonts w:ascii="Tw Cen MT" w:hAnsi="Tw Cen MT"/>
          <w:szCs w:val="24"/>
        </w:rPr>
        <w:t xml:space="preserve">Many of the articles indexed by the databases are available online. </w:t>
      </w:r>
      <w:r w:rsidRPr="00CE0144">
        <w:rPr>
          <w:rFonts w:ascii="Tw Cen MT" w:hAnsi="Tw Cen MT"/>
          <w:szCs w:val="24"/>
        </w:rPr>
        <w:t xml:space="preserve">Link to available electronic journals from databases via </w:t>
      </w:r>
      <w:r w:rsidR="00E50E83">
        <w:rPr>
          <w:rFonts w:ascii="Tw Cen MT" w:hAnsi="Tw Cen MT"/>
          <w:noProof/>
          <w:szCs w:val="24"/>
        </w:rPr>
        <w:drawing>
          <wp:inline distT="0" distB="0" distL="0" distR="0">
            <wp:extent cx="857250" cy="180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57250" cy="180975"/>
                    </a:xfrm>
                    <a:prstGeom prst="rect">
                      <a:avLst/>
                    </a:prstGeom>
                    <a:noFill/>
                    <a:ln w="9525">
                      <a:noFill/>
                      <a:miter lim="800000"/>
                      <a:headEnd/>
                      <a:tailEnd/>
                    </a:ln>
                  </pic:spPr>
                </pic:pic>
              </a:graphicData>
            </a:graphic>
          </wp:inline>
        </w:drawing>
      </w:r>
      <w:r w:rsidRPr="00CE0144">
        <w:rPr>
          <w:rFonts w:ascii="Tw Cen MT" w:hAnsi="Tw Cen MT"/>
          <w:szCs w:val="24"/>
        </w:rPr>
        <w:t xml:space="preserve"> or </w:t>
      </w:r>
      <w:r w:rsidR="00E50E83">
        <w:rPr>
          <w:rFonts w:ascii="Tw Cen MT" w:hAnsi="Tw Cen MT" w:cs="Arial"/>
          <w:noProof/>
          <w:szCs w:val="24"/>
        </w:rPr>
        <w:drawing>
          <wp:inline distT="0" distB="0" distL="0" distR="0">
            <wp:extent cx="438150" cy="152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38150" cy="152400"/>
                    </a:xfrm>
                    <a:prstGeom prst="rect">
                      <a:avLst/>
                    </a:prstGeom>
                    <a:noFill/>
                    <a:ln w="9525">
                      <a:noFill/>
                      <a:miter lim="800000"/>
                      <a:headEnd/>
                      <a:tailEnd/>
                    </a:ln>
                  </pic:spPr>
                </pic:pic>
              </a:graphicData>
            </a:graphic>
          </wp:inline>
        </w:drawing>
      </w:r>
    </w:p>
    <w:p w:rsidR="00DA24F2" w:rsidRPr="00CE0144" w:rsidRDefault="00DA24F2" w:rsidP="00DA24F2">
      <w:pPr>
        <w:pStyle w:val="ListParagraph"/>
        <w:ind w:left="0"/>
        <w:rPr>
          <w:rFonts w:ascii="Tw Cen MT" w:hAnsi="Tw Cen MT"/>
          <w:szCs w:val="24"/>
        </w:rPr>
      </w:pPr>
    </w:p>
    <w:p w:rsidR="00DA24F2" w:rsidRPr="00322023" w:rsidRDefault="00DA24F2" w:rsidP="00DA24F2">
      <w:pPr>
        <w:pStyle w:val="ListParagraph"/>
        <w:ind w:left="0"/>
        <w:rPr>
          <w:rFonts w:ascii="Tw Cen MT" w:hAnsi="Tw Cen MT"/>
          <w:b/>
          <w:szCs w:val="24"/>
        </w:rPr>
      </w:pPr>
      <w:r w:rsidRPr="00322023">
        <w:rPr>
          <w:rFonts w:ascii="Tw Cen MT" w:hAnsi="Tw Cen MT"/>
          <w:b/>
          <w:szCs w:val="24"/>
        </w:rPr>
        <w:t xml:space="preserve">Electronic Journals </w:t>
      </w:r>
      <w:r w:rsidR="00A91814" w:rsidRPr="00322023">
        <w:rPr>
          <w:rFonts w:ascii="Tw Cen MT" w:hAnsi="Tw Cen MT"/>
          <w:b/>
          <w:szCs w:val="24"/>
        </w:rPr>
        <w:t>(in library use only)</w:t>
      </w:r>
    </w:p>
    <w:p w:rsidR="00322023" w:rsidRDefault="00DA24F2" w:rsidP="00DA24F2">
      <w:pPr>
        <w:pStyle w:val="ListParagraph"/>
        <w:numPr>
          <w:ilvl w:val="0"/>
          <w:numId w:val="9"/>
        </w:numPr>
        <w:rPr>
          <w:rFonts w:ascii="Tw Cen MT" w:hAnsi="Tw Cen MT"/>
          <w:szCs w:val="24"/>
        </w:rPr>
      </w:pPr>
      <w:r w:rsidRPr="00322023">
        <w:rPr>
          <w:rFonts w:ascii="Tw Cen MT" w:hAnsi="Tw Cen MT"/>
          <w:szCs w:val="24"/>
        </w:rPr>
        <w:t>Search for specific journals and articles through the “E-journals by Title” link on the library website</w:t>
      </w:r>
    </w:p>
    <w:p w:rsidR="00DA24F2" w:rsidRPr="00322023" w:rsidRDefault="00DA24F2" w:rsidP="00DA24F2">
      <w:pPr>
        <w:pStyle w:val="ListParagraph"/>
        <w:numPr>
          <w:ilvl w:val="0"/>
          <w:numId w:val="9"/>
        </w:numPr>
        <w:rPr>
          <w:rFonts w:ascii="Tw Cen MT" w:hAnsi="Tw Cen MT"/>
          <w:szCs w:val="24"/>
        </w:rPr>
      </w:pPr>
      <w:r w:rsidRPr="00322023">
        <w:rPr>
          <w:rFonts w:ascii="Tw Cen MT" w:hAnsi="Tw Cen MT"/>
          <w:szCs w:val="24"/>
        </w:rPr>
        <w:t>Some e–journal collections are searchable by subject or keyword</w:t>
      </w:r>
    </w:p>
    <w:p w:rsidR="00DA24F2" w:rsidRPr="00CE0144" w:rsidRDefault="00DA24F2" w:rsidP="00DA24F2">
      <w:pPr>
        <w:pStyle w:val="ListParagraph"/>
        <w:numPr>
          <w:ilvl w:val="0"/>
          <w:numId w:val="4"/>
        </w:numPr>
        <w:spacing w:before="100" w:beforeAutospacing="1" w:after="100" w:afterAutospacing="1"/>
        <w:rPr>
          <w:rFonts w:ascii="Tw Cen MT" w:hAnsi="Tw Cen MT" w:cs="Arial"/>
          <w:szCs w:val="24"/>
        </w:rPr>
      </w:pPr>
      <w:r w:rsidRPr="00CE0144">
        <w:rPr>
          <w:rFonts w:ascii="Tw Cen MT" w:hAnsi="Tw Cen MT"/>
          <w:szCs w:val="24"/>
        </w:rPr>
        <w:t xml:space="preserve">Link to available electronic journals from databases via </w:t>
      </w:r>
      <w:r w:rsidR="00E50E83">
        <w:rPr>
          <w:rFonts w:ascii="Tw Cen MT" w:hAnsi="Tw Cen MT"/>
          <w:noProof/>
          <w:szCs w:val="24"/>
        </w:rPr>
        <w:drawing>
          <wp:inline distT="0" distB="0" distL="0" distR="0">
            <wp:extent cx="857250" cy="1809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857250" cy="180975"/>
                    </a:xfrm>
                    <a:prstGeom prst="rect">
                      <a:avLst/>
                    </a:prstGeom>
                    <a:noFill/>
                    <a:ln w="9525">
                      <a:noFill/>
                      <a:miter lim="800000"/>
                      <a:headEnd/>
                      <a:tailEnd/>
                    </a:ln>
                  </pic:spPr>
                </pic:pic>
              </a:graphicData>
            </a:graphic>
          </wp:inline>
        </w:drawing>
      </w:r>
      <w:r w:rsidRPr="00CE0144">
        <w:rPr>
          <w:rFonts w:ascii="Tw Cen MT" w:hAnsi="Tw Cen MT"/>
          <w:szCs w:val="24"/>
        </w:rPr>
        <w:t xml:space="preserve"> or </w:t>
      </w:r>
    </w:p>
    <w:p w:rsidR="00DA24F2" w:rsidRPr="00CE0144" w:rsidRDefault="00E50E83" w:rsidP="00DA24F2">
      <w:pPr>
        <w:pStyle w:val="ListParagraph"/>
        <w:spacing w:before="100" w:beforeAutospacing="1" w:after="100" w:afterAutospacing="1"/>
        <w:rPr>
          <w:rFonts w:ascii="Tw Cen MT" w:hAnsi="Tw Cen MT" w:cs="Arial"/>
          <w:szCs w:val="24"/>
        </w:rPr>
      </w:pPr>
      <w:r>
        <w:rPr>
          <w:rFonts w:ascii="Tw Cen MT" w:hAnsi="Tw Cen MT" w:cs="Arial"/>
          <w:noProof/>
          <w:szCs w:val="24"/>
        </w:rPr>
        <w:drawing>
          <wp:inline distT="0" distB="0" distL="0" distR="0">
            <wp:extent cx="438150" cy="152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38150" cy="152400"/>
                    </a:xfrm>
                    <a:prstGeom prst="rect">
                      <a:avLst/>
                    </a:prstGeom>
                    <a:noFill/>
                    <a:ln w="9525">
                      <a:noFill/>
                      <a:miter lim="800000"/>
                      <a:headEnd/>
                      <a:tailEnd/>
                    </a:ln>
                  </pic:spPr>
                </pic:pic>
              </a:graphicData>
            </a:graphic>
          </wp:inline>
        </w:drawing>
      </w:r>
    </w:p>
    <w:p w:rsidR="00DA24F2" w:rsidRPr="00322023" w:rsidRDefault="00DA24F2" w:rsidP="00DA24F2">
      <w:pPr>
        <w:spacing w:before="100" w:beforeAutospacing="1" w:after="100" w:afterAutospacing="1"/>
        <w:rPr>
          <w:rFonts w:ascii="Tw Cen MT" w:hAnsi="Tw Cen MT" w:cs="Arial"/>
          <w:b/>
          <w:szCs w:val="24"/>
        </w:rPr>
      </w:pPr>
      <w:r w:rsidRPr="00322023">
        <w:rPr>
          <w:rFonts w:ascii="Tw Cen MT" w:hAnsi="Tw Cen MT" w:cs="Arial"/>
          <w:b/>
          <w:szCs w:val="24"/>
        </w:rPr>
        <w:t>Subject Guides/Tutorials</w:t>
      </w:r>
    </w:p>
    <w:p w:rsidR="00DA24F2" w:rsidRPr="00CE0144" w:rsidRDefault="00DA24F2" w:rsidP="00DA24F2">
      <w:pPr>
        <w:numPr>
          <w:ilvl w:val="0"/>
          <w:numId w:val="6"/>
        </w:numPr>
        <w:spacing w:before="100" w:beforeAutospacing="1" w:after="100" w:afterAutospacing="1"/>
        <w:rPr>
          <w:rFonts w:ascii="Tw Cen MT" w:hAnsi="Tw Cen MT" w:cs="Arial"/>
          <w:szCs w:val="24"/>
        </w:rPr>
      </w:pPr>
      <w:r w:rsidRPr="00CE0144">
        <w:rPr>
          <w:rFonts w:ascii="Tw Cen MT" w:hAnsi="Tw Cen MT" w:cs="Arial"/>
          <w:szCs w:val="24"/>
        </w:rPr>
        <w:t>Click on the Research Help tab and choose subject guides</w:t>
      </w:r>
    </w:p>
    <w:p w:rsidR="00DA24F2" w:rsidRPr="00CE0144" w:rsidRDefault="00DA24F2" w:rsidP="00DA24F2">
      <w:pPr>
        <w:numPr>
          <w:ilvl w:val="0"/>
          <w:numId w:val="6"/>
        </w:numPr>
        <w:spacing w:before="100" w:beforeAutospacing="1" w:after="100" w:afterAutospacing="1"/>
        <w:rPr>
          <w:rFonts w:ascii="Tw Cen MT" w:hAnsi="Tw Cen MT" w:cs="Arial"/>
          <w:szCs w:val="24"/>
        </w:rPr>
      </w:pPr>
      <w:r w:rsidRPr="00CE0144">
        <w:rPr>
          <w:rFonts w:ascii="Tw Cen MT" w:hAnsi="Tw Cen MT" w:cs="Arial"/>
          <w:szCs w:val="24"/>
        </w:rPr>
        <w:t>There are subject guides for Psychology, Sociology and Social Work</w:t>
      </w:r>
    </w:p>
    <w:p w:rsidR="00DA24F2" w:rsidRPr="00CE0144" w:rsidRDefault="00DA24F2" w:rsidP="00DA24F2">
      <w:pPr>
        <w:numPr>
          <w:ilvl w:val="0"/>
          <w:numId w:val="6"/>
        </w:numPr>
        <w:spacing w:before="100" w:beforeAutospacing="1" w:after="100" w:afterAutospacing="1"/>
        <w:rPr>
          <w:rFonts w:ascii="Tw Cen MT" w:hAnsi="Tw Cen MT" w:cs="Arial"/>
          <w:szCs w:val="24"/>
        </w:rPr>
      </w:pPr>
      <w:r w:rsidRPr="00CE0144">
        <w:rPr>
          <w:rFonts w:ascii="Tw Cen MT" w:hAnsi="Tw Cen MT" w:cs="Arial"/>
          <w:szCs w:val="24"/>
        </w:rPr>
        <w:t>Use the how to guides for a variety of topics</w:t>
      </w:r>
    </w:p>
    <w:p w:rsidR="00DA24F2" w:rsidRPr="00CE0144" w:rsidRDefault="00DA24F2" w:rsidP="00DA24F2">
      <w:pPr>
        <w:numPr>
          <w:ilvl w:val="0"/>
          <w:numId w:val="6"/>
        </w:numPr>
        <w:spacing w:before="100" w:beforeAutospacing="1" w:after="100" w:afterAutospacing="1"/>
        <w:rPr>
          <w:rFonts w:ascii="Tw Cen MT" w:hAnsi="Tw Cen MT" w:cs="Arial"/>
          <w:szCs w:val="24"/>
        </w:rPr>
      </w:pPr>
      <w:r w:rsidRPr="00CE0144">
        <w:rPr>
          <w:rFonts w:ascii="Tw Cen MT" w:hAnsi="Tw Cen MT" w:cs="Arial"/>
          <w:szCs w:val="24"/>
        </w:rPr>
        <w:t>Citing sources</w:t>
      </w:r>
      <w:r w:rsidR="00BB3F87">
        <w:rPr>
          <w:rFonts w:ascii="Tw Cen MT" w:hAnsi="Tw Cen MT" w:cs="Arial"/>
          <w:szCs w:val="24"/>
        </w:rPr>
        <w:t xml:space="preserve"> provides guides to various citation styles, including MLA, APA, Chicago and </w:t>
      </w:r>
      <w:proofErr w:type="spellStart"/>
      <w:r w:rsidR="00BB3F87">
        <w:rPr>
          <w:rFonts w:ascii="Tw Cen MT" w:hAnsi="Tw Cen MT" w:cs="Arial"/>
          <w:szCs w:val="24"/>
        </w:rPr>
        <w:t>Turabian</w:t>
      </w:r>
      <w:proofErr w:type="spellEnd"/>
      <w:r w:rsidR="00BB3F87">
        <w:rPr>
          <w:rFonts w:ascii="Tw Cen MT" w:hAnsi="Tw Cen MT" w:cs="Arial"/>
          <w:szCs w:val="24"/>
        </w:rPr>
        <w:t xml:space="preserve">. </w:t>
      </w:r>
    </w:p>
    <w:p w:rsidR="003D3174" w:rsidRPr="00A91814" w:rsidRDefault="003D3174" w:rsidP="003D3174">
      <w:pPr>
        <w:pStyle w:val="Footer"/>
        <w:rPr>
          <w:rFonts w:ascii="Tw Cen MT" w:hAnsi="Tw Cen MT"/>
          <w:b/>
        </w:rPr>
      </w:pPr>
      <w:r w:rsidRPr="00A91814">
        <w:rPr>
          <w:rFonts w:ascii="Tw Cen MT" w:hAnsi="Tw Cen MT"/>
          <w:b/>
        </w:rPr>
        <w:t>Getting Help</w:t>
      </w:r>
    </w:p>
    <w:p w:rsidR="003D3174" w:rsidRPr="003D3174" w:rsidRDefault="003D3174" w:rsidP="003D3174">
      <w:pPr>
        <w:numPr>
          <w:ilvl w:val="0"/>
          <w:numId w:val="15"/>
        </w:numPr>
        <w:rPr>
          <w:rFonts w:ascii="Tw Cen MT" w:hAnsi="Tw Cen MT"/>
          <w:szCs w:val="24"/>
        </w:rPr>
      </w:pPr>
      <w:r>
        <w:rPr>
          <w:rFonts w:ascii="Tw Cen MT" w:hAnsi="Tw Cen MT"/>
          <w:szCs w:val="24"/>
        </w:rPr>
        <w:t>Visit the r</w:t>
      </w:r>
      <w:r w:rsidRPr="003D3174">
        <w:rPr>
          <w:rFonts w:ascii="Tw Cen MT" w:hAnsi="Tw Cen MT"/>
          <w:szCs w:val="24"/>
        </w:rPr>
        <w:t xml:space="preserve">eference </w:t>
      </w:r>
      <w:r>
        <w:rPr>
          <w:rFonts w:ascii="Tw Cen MT" w:hAnsi="Tw Cen MT"/>
          <w:szCs w:val="24"/>
        </w:rPr>
        <w:t>d</w:t>
      </w:r>
      <w:r w:rsidRPr="003D3174">
        <w:rPr>
          <w:rFonts w:ascii="Tw Cen MT" w:hAnsi="Tw Cen MT"/>
          <w:szCs w:val="24"/>
        </w:rPr>
        <w:t>esk</w:t>
      </w:r>
      <w:r w:rsidR="009015C4">
        <w:rPr>
          <w:rFonts w:ascii="Tw Cen MT" w:hAnsi="Tw Cen MT"/>
          <w:szCs w:val="24"/>
        </w:rPr>
        <w:t xml:space="preserve"> </w:t>
      </w:r>
    </w:p>
    <w:p w:rsidR="003D3174" w:rsidRPr="003D3174" w:rsidRDefault="003D3174" w:rsidP="003D3174">
      <w:pPr>
        <w:numPr>
          <w:ilvl w:val="0"/>
          <w:numId w:val="15"/>
        </w:numPr>
        <w:rPr>
          <w:rFonts w:ascii="Tw Cen MT" w:hAnsi="Tw Cen MT"/>
          <w:szCs w:val="24"/>
        </w:rPr>
      </w:pPr>
      <w:r w:rsidRPr="003D3174">
        <w:rPr>
          <w:rFonts w:ascii="Tw Cen MT" w:hAnsi="Tw Cen MT"/>
          <w:szCs w:val="24"/>
        </w:rPr>
        <w:t>Phone 974-2729 or 866-550-8036</w:t>
      </w:r>
      <w:r w:rsidR="009015C4">
        <w:rPr>
          <w:rFonts w:ascii="Tw Cen MT" w:hAnsi="Tw Cen MT"/>
          <w:szCs w:val="24"/>
        </w:rPr>
        <w:t xml:space="preserve"> </w:t>
      </w:r>
    </w:p>
    <w:p w:rsidR="003D3174" w:rsidRPr="003D3174" w:rsidRDefault="003D3174" w:rsidP="003D3174">
      <w:pPr>
        <w:numPr>
          <w:ilvl w:val="0"/>
          <w:numId w:val="15"/>
        </w:numPr>
        <w:rPr>
          <w:rFonts w:ascii="Tw Cen MT" w:hAnsi="Tw Cen MT"/>
          <w:szCs w:val="24"/>
        </w:rPr>
      </w:pPr>
      <w:r w:rsidRPr="003D3174">
        <w:rPr>
          <w:rFonts w:ascii="Tw Cen MT" w:hAnsi="Tw Cen MT"/>
          <w:szCs w:val="24"/>
        </w:rPr>
        <w:t>Email (click on Ask-A-Librarian)</w:t>
      </w:r>
    </w:p>
    <w:p w:rsidR="00EE7BA7" w:rsidRDefault="003D3174" w:rsidP="003D3174">
      <w:pPr>
        <w:numPr>
          <w:ilvl w:val="0"/>
          <w:numId w:val="15"/>
        </w:numPr>
        <w:rPr>
          <w:rFonts w:ascii="Tw Cen MT" w:hAnsi="Tw Cen MT"/>
          <w:szCs w:val="24"/>
        </w:rPr>
      </w:pPr>
      <w:r w:rsidRPr="003D3174">
        <w:rPr>
          <w:rFonts w:ascii="Tw Cen MT" w:hAnsi="Tw Cen MT"/>
          <w:szCs w:val="24"/>
        </w:rPr>
        <w:t>Chat Room (click on Ask-A-Librarian)</w:t>
      </w:r>
    </w:p>
    <w:p w:rsidR="009015C4" w:rsidRDefault="009015C4" w:rsidP="003D3174">
      <w:pPr>
        <w:numPr>
          <w:ilvl w:val="0"/>
          <w:numId w:val="15"/>
        </w:numPr>
        <w:rPr>
          <w:rFonts w:ascii="Tw Cen MT" w:hAnsi="Tw Cen MT"/>
          <w:szCs w:val="24"/>
        </w:rPr>
      </w:pPr>
      <w:r>
        <w:rPr>
          <w:rFonts w:ascii="Tw Cen MT" w:hAnsi="Tw Cen MT"/>
          <w:szCs w:val="24"/>
        </w:rPr>
        <w:t>Contact Susan Silver (</w:t>
      </w:r>
      <w:r w:rsidR="003A4CB5">
        <w:rPr>
          <w:rFonts w:ascii="Tw Cen MT" w:hAnsi="Tw Cen MT"/>
          <w:szCs w:val="24"/>
        </w:rPr>
        <w:t>s</w:t>
      </w:r>
      <w:hyperlink r:id="rId8" w:history="1">
        <w:r w:rsidRPr="003A4CB5">
          <w:rPr>
            <w:rStyle w:val="Hyperlink"/>
            <w:rFonts w:ascii="Tw Cen MT" w:hAnsi="Tw Cen MT"/>
            <w:color w:val="auto"/>
            <w:szCs w:val="24"/>
            <w:u w:val="none"/>
          </w:rPr>
          <w:t>silver@lib.usf.edu</w:t>
        </w:r>
      </w:hyperlink>
      <w:r w:rsidRPr="003A4CB5">
        <w:rPr>
          <w:rFonts w:ascii="Tw Cen MT" w:hAnsi="Tw Cen MT"/>
          <w:szCs w:val="24"/>
        </w:rPr>
        <w:t>)</w:t>
      </w:r>
      <w:r w:rsidRPr="009015C4">
        <w:rPr>
          <w:rFonts w:ascii="Tw Cen MT" w:hAnsi="Tw Cen MT"/>
          <w:szCs w:val="24"/>
        </w:rPr>
        <w:t xml:space="preserve"> or Drew Smith (</w:t>
      </w:r>
      <w:hyperlink r:id="rId9" w:history="1">
        <w:r w:rsidR="00350EE1" w:rsidRPr="00F71215">
          <w:rPr>
            <w:rStyle w:val="Hyperlink"/>
            <w:rFonts w:ascii="Tw Cen MT" w:hAnsi="Tw Cen MT"/>
            <w:szCs w:val="24"/>
          </w:rPr>
          <w:t>amsmith@lib.usf.edu</w:t>
        </w:r>
      </w:hyperlink>
      <w:r w:rsidRPr="009015C4">
        <w:rPr>
          <w:rFonts w:ascii="Tw Cen MT" w:hAnsi="Tw Cen MT"/>
          <w:szCs w:val="24"/>
        </w:rPr>
        <w:t>)</w:t>
      </w:r>
    </w:p>
    <w:p w:rsidR="00350EE1" w:rsidRDefault="00350EE1" w:rsidP="00350EE1">
      <w:pPr>
        <w:ind w:left="720"/>
        <w:rPr>
          <w:rFonts w:ascii="Tw Cen MT" w:hAnsi="Tw Cen MT"/>
          <w:szCs w:val="24"/>
        </w:rPr>
      </w:pPr>
    </w:p>
    <w:p w:rsidR="00350EE1" w:rsidRDefault="00350EE1" w:rsidP="00350EE1">
      <w:pPr>
        <w:ind w:left="720"/>
        <w:rPr>
          <w:rFonts w:ascii="Tw Cen MT" w:hAnsi="Tw Cen MT"/>
          <w:szCs w:val="24"/>
        </w:rPr>
      </w:pPr>
    </w:p>
    <w:p w:rsidR="00350EE1" w:rsidRDefault="00350EE1" w:rsidP="00350EE1">
      <w:pPr>
        <w:ind w:left="720"/>
        <w:rPr>
          <w:rFonts w:ascii="Tw Cen MT" w:hAnsi="Tw Cen MT"/>
          <w:szCs w:val="24"/>
        </w:rPr>
      </w:pPr>
    </w:p>
    <w:p w:rsidR="00350EE1" w:rsidRDefault="00350EE1" w:rsidP="00350EE1">
      <w:pPr>
        <w:ind w:left="720"/>
        <w:rPr>
          <w:rFonts w:ascii="Tw Cen MT" w:hAnsi="Tw Cen MT"/>
          <w:szCs w:val="24"/>
        </w:rPr>
      </w:pPr>
    </w:p>
    <w:p w:rsidR="00350EE1" w:rsidRDefault="00350EE1" w:rsidP="00350EE1">
      <w:pPr>
        <w:ind w:left="720"/>
        <w:rPr>
          <w:rFonts w:ascii="Tw Cen MT" w:hAnsi="Tw Cen MT"/>
          <w:szCs w:val="24"/>
        </w:rPr>
      </w:pPr>
      <w:r>
        <w:rPr>
          <w:rFonts w:ascii="Tw Cen MT" w:hAnsi="Tw Cen MT"/>
          <w:szCs w:val="24"/>
        </w:rPr>
        <w:t xml:space="preserve">Revised </w:t>
      </w:r>
      <w:proofErr w:type="spellStart"/>
      <w:r>
        <w:rPr>
          <w:rFonts w:ascii="Tw Cen MT" w:hAnsi="Tw Cen MT"/>
          <w:szCs w:val="24"/>
        </w:rPr>
        <w:t>jd</w:t>
      </w:r>
      <w:proofErr w:type="spellEnd"/>
      <w:r>
        <w:rPr>
          <w:rFonts w:ascii="Tw Cen MT" w:hAnsi="Tw Cen MT"/>
          <w:szCs w:val="24"/>
        </w:rPr>
        <w:t>/</w:t>
      </w:r>
      <w:proofErr w:type="spellStart"/>
      <w:r>
        <w:rPr>
          <w:rFonts w:ascii="Tw Cen MT" w:hAnsi="Tw Cen MT"/>
          <w:szCs w:val="24"/>
        </w:rPr>
        <w:t>djs</w:t>
      </w:r>
      <w:proofErr w:type="spellEnd"/>
    </w:p>
    <w:p w:rsidR="00350EE1" w:rsidRPr="003D3174" w:rsidRDefault="00350EE1" w:rsidP="00350EE1">
      <w:pPr>
        <w:ind w:left="720"/>
        <w:rPr>
          <w:rFonts w:ascii="Tw Cen MT" w:hAnsi="Tw Cen MT"/>
          <w:szCs w:val="24"/>
        </w:rPr>
      </w:pPr>
    </w:p>
    <w:sectPr w:rsidR="00350EE1" w:rsidRPr="003D3174" w:rsidSect="009015C4">
      <w:pgSz w:w="12240" w:h="15840"/>
      <w:pgMar w:top="99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8D4"/>
    <w:multiLevelType w:val="hybridMultilevel"/>
    <w:tmpl w:val="C2D05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B67DF"/>
    <w:multiLevelType w:val="hybridMultilevel"/>
    <w:tmpl w:val="6B04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10D5D"/>
    <w:multiLevelType w:val="hybridMultilevel"/>
    <w:tmpl w:val="D582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D52D9"/>
    <w:multiLevelType w:val="hybridMultilevel"/>
    <w:tmpl w:val="5572889E"/>
    <w:lvl w:ilvl="0" w:tplc="D0B08A2E">
      <w:start w:val="1"/>
      <w:numFmt w:val="decimal"/>
      <w:lvlText w:val="%1."/>
      <w:lvlJc w:val="left"/>
      <w:pPr>
        <w:tabs>
          <w:tab w:val="num" w:pos="780"/>
        </w:tabs>
        <w:ind w:left="780" w:hanging="4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6F3E06"/>
    <w:multiLevelType w:val="hybridMultilevel"/>
    <w:tmpl w:val="4B98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F369DF"/>
    <w:multiLevelType w:val="hybridMultilevel"/>
    <w:tmpl w:val="CEDE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262CA8"/>
    <w:multiLevelType w:val="hybridMultilevel"/>
    <w:tmpl w:val="EBB2A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406F33"/>
    <w:multiLevelType w:val="hybridMultilevel"/>
    <w:tmpl w:val="8970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7B62B4"/>
    <w:multiLevelType w:val="hybridMultilevel"/>
    <w:tmpl w:val="AADC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2C79B2"/>
    <w:multiLevelType w:val="hybridMultilevel"/>
    <w:tmpl w:val="00260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36C4A00"/>
    <w:multiLevelType w:val="hybridMultilevel"/>
    <w:tmpl w:val="393AD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F27909"/>
    <w:multiLevelType w:val="hybridMultilevel"/>
    <w:tmpl w:val="66D6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287129"/>
    <w:multiLevelType w:val="hybridMultilevel"/>
    <w:tmpl w:val="B108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A913CA"/>
    <w:multiLevelType w:val="hybridMultilevel"/>
    <w:tmpl w:val="B48A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92595C"/>
    <w:multiLevelType w:val="hybridMultilevel"/>
    <w:tmpl w:val="B1C6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7"/>
  </w:num>
  <w:num w:numId="4">
    <w:abstractNumId w:val="0"/>
  </w:num>
  <w:num w:numId="5">
    <w:abstractNumId w:val="8"/>
  </w:num>
  <w:num w:numId="6">
    <w:abstractNumId w:val="4"/>
  </w:num>
  <w:num w:numId="7">
    <w:abstractNumId w:val="14"/>
  </w:num>
  <w:num w:numId="8">
    <w:abstractNumId w:val="10"/>
  </w:num>
  <w:num w:numId="9">
    <w:abstractNumId w:val="5"/>
  </w:num>
  <w:num w:numId="10">
    <w:abstractNumId w:val="2"/>
  </w:num>
  <w:num w:numId="11">
    <w:abstractNumId w:val="9"/>
  </w:num>
  <w:num w:numId="12">
    <w:abstractNumId w:val="1"/>
  </w:num>
  <w:num w:numId="13">
    <w:abstractNumId w:val="11"/>
  </w:num>
  <w:num w:numId="14">
    <w:abstractNumId w:val="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837EAA"/>
    <w:rsid w:val="00001DC3"/>
    <w:rsid w:val="0000701B"/>
    <w:rsid w:val="000C60C6"/>
    <w:rsid w:val="00174E75"/>
    <w:rsid w:val="00231B68"/>
    <w:rsid w:val="002C290D"/>
    <w:rsid w:val="002D5A2B"/>
    <w:rsid w:val="00322023"/>
    <w:rsid w:val="0034509B"/>
    <w:rsid w:val="00350EE1"/>
    <w:rsid w:val="003A4CB5"/>
    <w:rsid w:val="003D3174"/>
    <w:rsid w:val="003F08D8"/>
    <w:rsid w:val="005A03E0"/>
    <w:rsid w:val="006F6441"/>
    <w:rsid w:val="00770F7F"/>
    <w:rsid w:val="00837EAA"/>
    <w:rsid w:val="009015C4"/>
    <w:rsid w:val="00933DE1"/>
    <w:rsid w:val="009603F5"/>
    <w:rsid w:val="00977D48"/>
    <w:rsid w:val="00986009"/>
    <w:rsid w:val="00A91814"/>
    <w:rsid w:val="00B54B6F"/>
    <w:rsid w:val="00BB3F87"/>
    <w:rsid w:val="00BF5522"/>
    <w:rsid w:val="00C80537"/>
    <w:rsid w:val="00CE0144"/>
    <w:rsid w:val="00DA24F2"/>
    <w:rsid w:val="00DC722D"/>
    <w:rsid w:val="00E50E83"/>
    <w:rsid w:val="00EE7BA7"/>
    <w:rsid w:val="00F62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BA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37EAA"/>
    <w:pPr>
      <w:tabs>
        <w:tab w:val="center" w:pos="4320"/>
        <w:tab w:val="right" w:pos="8640"/>
      </w:tabs>
    </w:pPr>
    <w:rPr>
      <w:szCs w:val="24"/>
    </w:rPr>
  </w:style>
  <w:style w:type="character" w:customStyle="1" w:styleId="FooterChar">
    <w:name w:val="Footer Char"/>
    <w:basedOn w:val="DefaultParagraphFont"/>
    <w:link w:val="Footer"/>
    <w:rsid w:val="00837EAA"/>
    <w:rPr>
      <w:sz w:val="24"/>
      <w:szCs w:val="24"/>
    </w:rPr>
  </w:style>
  <w:style w:type="paragraph" w:styleId="BalloonText">
    <w:name w:val="Balloon Text"/>
    <w:basedOn w:val="Normal"/>
    <w:link w:val="BalloonTextChar"/>
    <w:rsid w:val="00837EAA"/>
    <w:rPr>
      <w:rFonts w:ascii="Tahoma" w:hAnsi="Tahoma" w:cs="Tahoma"/>
      <w:sz w:val="16"/>
      <w:szCs w:val="16"/>
    </w:rPr>
  </w:style>
  <w:style w:type="character" w:customStyle="1" w:styleId="BalloonTextChar">
    <w:name w:val="Balloon Text Char"/>
    <w:basedOn w:val="DefaultParagraphFont"/>
    <w:link w:val="BalloonText"/>
    <w:rsid w:val="00837EAA"/>
    <w:rPr>
      <w:rFonts w:ascii="Tahoma" w:hAnsi="Tahoma" w:cs="Tahoma"/>
      <w:sz w:val="16"/>
      <w:szCs w:val="16"/>
    </w:rPr>
  </w:style>
  <w:style w:type="paragraph" w:styleId="ListParagraph">
    <w:name w:val="List Paragraph"/>
    <w:basedOn w:val="Normal"/>
    <w:uiPriority w:val="34"/>
    <w:qFormat/>
    <w:rsid w:val="00DA24F2"/>
    <w:pPr>
      <w:ind w:left="720"/>
      <w:contextualSpacing/>
    </w:pPr>
  </w:style>
  <w:style w:type="character" w:styleId="Hyperlink">
    <w:name w:val="Hyperlink"/>
    <w:basedOn w:val="DefaultParagraphFont"/>
    <w:rsid w:val="003D31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lver@lib.usf.edu"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lib.usf.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smith@lib.u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3718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4407</CharactersWithSpaces>
  <SharedDoc>false</SharedDoc>
  <HLinks>
    <vt:vector size="18" baseType="variant">
      <vt:variant>
        <vt:i4>8126464</vt:i4>
      </vt:variant>
      <vt:variant>
        <vt:i4>6</vt:i4>
      </vt:variant>
      <vt:variant>
        <vt:i4>0</vt:i4>
      </vt:variant>
      <vt:variant>
        <vt:i4>5</vt:i4>
      </vt:variant>
      <vt:variant>
        <vt:lpwstr>mailto:amsmith@lib.usf.edu</vt:lpwstr>
      </vt:variant>
      <vt:variant>
        <vt:lpwstr/>
      </vt:variant>
      <vt:variant>
        <vt:i4>2490463</vt:i4>
      </vt:variant>
      <vt:variant>
        <vt:i4>3</vt:i4>
      </vt:variant>
      <vt:variant>
        <vt:i4>0</vt:i4>
      </vt:variant>
      <vt:variant>
        <vt:i4>5</vt:i4>
      </vt:variant>
      <vt:variant>
        <vt:lpwstr>mailto:silver@lib.usf.edu</vt:lpwstr>
      </vt:variant>
      <vt:variant>
        <vt:lpwstr/>
      </vt:variant>
      <vt:variant>
        <vt:i4>2490414</vt:i4>
      </vt:variant>
      <vt:variant>
        <vt:i4>0</vt:i4>
      </vt:variant>
      <vt:variant>
        <vt:i4>0</vt:i4>
      </vt:variant>
      <vt:variant>
        <vt:i4>5</vt:i4>
      </vt:variant>
      <vt:variant>
        <vt:lpwstr>http://www.lib.usf.edu/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ssilver</dc:creator>
  <cp:keywords/>
  <dc:description/>
  <cp:lastModifiedBy>Hillsborough Public Schools</cp:lastModifiedBy>
  <cp:revision>2</cp:revision>
  <cp:lastPrinted>2010-08-17T16:08:00Z</cp:lastPrinted>
  <dcterms:created xsi:type="dcterms:W3CDTF">2012-01-31T13:49:00Z</dcterms:created>
  <dcterms:modified xsi:type="dcterms:W3CDTF">2012-01-31T13:49:00Z</dcterms:modified>
</cp:coreProperties>
</file>