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6"/>
          <w:szCs w:val="72"/>
          <w:lang w:eastAsia="zh-TW"/>
        </w:rPr>
        <w:id w:val="89260029"/>
        <w:docPartObj>
          <w:docPartGallery w:val="Cover Pages"/>
          <w:docPartUnique/>
        </w:docPartObj>
      </w:sdtPr>
      <w:sdtEndPr>
        <w:rPr>
          <w:rFonts w:ascii="Times New Roman" w:eastAsiaTheme="minorEastAsia" w:hAnsi="Times New Roman" w:cs="Times New Roman"/>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158"/>
            <w:gridCol w:w="3578"/>
            <w:gridCol w:w="2776"/>
          </w:tblGrid>
          <w:tr w:rsidR="00B3102B">
            <w:sdt>
              <w:sdtPr>
                <w:rPr>
                  <w:rFonts w:asciiTheme="majorHAnsi" w:eastAsiaTheme="majorEastAsia" w:hAnsiTheme="majorHAnsi" w:cstheme="majorBidi"/>
                  <w:sz w:val="76"/>
                  <w:szCs w:val="72"/>
                  <w:lang w:eastAsia="zh-TW"/>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3102B" w:rsidRDefault="000A53E0" w:rsidP="000A53E0">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Sport </w:t>
                    </w:r>
                    <w:proofErr w:type="spellStart"/>
                    <w:r>
                      <w:rPr>
                        <w:rFonts w:asciiTheme="majorHAnsi" w:eastAsiaTheme="majorEastAsia" w:hAnsiTheme="majorHAnsi" w:cstheme="majorBidi"/>
                        <w:sz w:val="76"/>
                        <w:szCs w:val="72"/>
                      </w:rPr>
                      <w:t>Obermeyer</w:t>
                    </w:r>
                    <w:proofErr w:type="spellEnd"/>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10-04T00:00:00Z">
                    <w:dateFormat w:val="MMMM d"/>
                    <w:lid w:val="en-US"/>
                    <w:storeMappedDataAs w:val="dateTime"/>
                    <w:calendar w:val="gregorian"/>
                  </w:date>
                </w:sdtPr>
                <w:sdtContent>
                  <w:p w:rsidR="00B3102B" w:rsidRDefault="000A53E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October 4</w:t>
                    </w:r>
                  </w:p>
                </w:sdtContent>
              </w:sdt>
              <w:p w:rsidR="00B3102B" w:rsidRDefault="00B3102B" w:rsidP="00B3102B">
                <w:pPr>
                  <w:pStyle w:val="NoSpacing"/>
                  <w:rPr>
                    <w:color w:val="4F81BD" w:themeColor="accent1"/>
                    <w:sz w:val="200"/>
                    <w:szCs w:val="200"/>
                  </w:rPr>
                </w:pPr>
                <w:r w:rsidRPr="00B3102B">
                  <w:rPr>
                    <w:color w:val="4F81BD" w:themeColor="accent1"/>
                    <w:sz w:val="96"/>
                    <w:szCs w:val="200"/>
                  </w:rPr>
                  <w:t>BUAD 6600</w:t>
                </w:r>
              </w:p>
            </w:tc>
          </w:tr>
          <w:tr w:rsidR="00B3102B">
            <w:tc>
              <w:tcPr>
                <w:tcW w:w="7054" w:type="dxa"/>
                <w:gridSpan w:val="2"/>
                <w:tcBorders>
                  <w:top w:val="single" w:sz="18" w:space="0" w:color="808080" w:themeColor="background1" w:themeShade="80"/>
                </w:tcBorders>
                <w:vAlign w:val="center"/>
              </w:tcPr>
              <w:sdt>
                <w:sdtPr>
                  <w:rPr>
                    <w:b/>
                  </w:rPr>
                  <w:alias w:val="Abstract"/>
                  <w:id w:val="276713183"/>
                  <w:dataBinding w:prefixMappings="xmlns:ns0='http://schemas.microsoft.com/office/2006/coverPageProps'" w:xpath="/ns0:CoverPageProperties[1]/ns0:Abstract[1]" w:storeItemID="{55AF091B-3C7A-41E3-B477-F2FDAA23CFDA}"/>
                  <w:text/>
                </w:sdtPr>
                <w:sdtContent>
                  <w:p w:rsidR="00B3102B" w:rsidRDefault="00FE452F" w:rsidP="001677F0">
                    <w:pPr>
                      <w:pStyle w:val="NoSpacing"/>
                      <w:ind w:left="540"/>
                    </w:pPr>
                    <w:proofErr w:type="spellStart"/>
                    <w:r w:rsidRPr="001677F0">
                      <w:rPr>
                        <w:b/>
                      </w:rPr>
                      <w:t>SCMers</w:t>
                    </w:r>
                    <w:proofErr w:type="spellEnd"/>
                  </w:p>
                </w:sdtContent>
              </w:sdt>
              <w:p w:rsidR="00F372B3" w:rsidRDefault="00F372B3" w:rsidP="00F372B3">
                <w:pPr>
                  <w:pStyle w:val="NoSpacing"/>
                </w:pPr>
                <w:r>
                  <w:t>Meagan Frances Ayers</w:t>
                </w:r>
              </w:p>
              <w:p w:rsidR="00F372B3" w:rsidRDefault="00F372B3" w:rsidP="00FE452F">
                <w:pPr>
                  <w:pStyle w:val="NoSpacing"/>
                </w:pPr>
                <w:r>
                  <w:t>James Franks</w:t>
                </w:r>
              </w:p>
              <w:p w:rsidR="00F372B3" w:rsidRDefault="00F372B3" w:rsidP="00FE452F">
                <w:pPr>
                  <w:pStyle w:val="NoSpacing"/>
                </w:pPr>
                <w:proofErr w:type="spellStart"/>
                <w:r>
                  <w:t>Emelie</w:t>
                </w:r>
                <w:proofErr w:type="spellEnd"/>
                <w:r>
                  <w:t xml:space="preserve"> Hall</w:t>
                </w:r>
              </w:p>
              <w:p w:rsidR="00D72456" w:rsidRDefault="00D72456" w:rsidP="00D72456">
                <w:pPr>
                  <w:pStyle w:val="NoSpacing"/>
                </w:pPr>
                <w:r>
                  <w:t>Jean-Hubert Trahan</w:t>
                </w:r>
              </w:p>
              <w:p w:rsidR="00D72456" w:rsidRDefault="00D72456" w:rsidP="00FE452F">
                <w:pPr>
                  <w:pStyle w:val="NoSpacing"/>
                </w:pPr>
              </w:p>
            </w:tc>
            <w:sdt>
              <w:sdtPr>
                <w:rPr>
                  <w:color w:val="4F81BD" w:themeColor="accent1"/>
                  <w:sz w:val="48"/>
                  <w:szCs w:val="20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3102B" w:rsidRDefault="00DB6588" w:rsidP="00B3102B">
                    <w:pPr>
                      <w:pStyle w:val="NoSpacing"/>
                      <w:rPr>
                        <w:rFonts w:asciiTheme="majorHAnsi" w:eastAsiaTheme="majorEastAsia" w:hAnsiTheme="majorHAnsi" w:cstheme="majorBidi"/>
                        <w:sz w:val="36"/>
                        <w:szCs w:val="36"/>
                      </w:rPr>
                    </w:pPr>
                    <w:r>
                      <w:rPr>
                        <w:color w:val="4F81BD" w:themeColor="accent1"/>
                        <w:sz w:val="48"/>
                        <w:szCs w:val="200"/>
                      </w:rPr>
                      <w:t xml:space="preserve">Instructor: </w:t>
                    </w:r>
                    <w:proofErr w:type="spellStart"/>
                    <w:r w:rsidR="00B3102B" w:rsidRPr="00B3102B">
                      <w:rPr>
                        <w:color w:val="4F81BD" w:themeColor="accent1"/>
                        <w:sz w:val="48"/>
                        <w:szCs w:val="200"/>
                      </w:rPr>
                      <w:t>Sachin</w:t>
                    </w:r>
                    <w:proofErr w:type="spellEnd"/>
                    <w:r w:rsidR="00B3102B" w:rsidRPr="00B3102B">
                      <w:rPr>
                        <w:color w:val="4F81BD" w:themeColor="accent1"/>
                        <w:sz w:val="48"/>
                        <w:szCs w:val="200"/>
                      </w:rPr>
                      <w:t xml:space="preserve"> </w:t>
                    </w:r>
                    <w:proofErr w:type="spellStart"/>
                    <w:r w:rsidR="00B3102B" w:rsidRPr="00B3102B">
                      <w:rPr>
                        <w:color w:val="4F81BD" w:themeColor="accent1"/>
                        <w:sz w:val="48"/>
                        <w:szCs w:val="200"/>
                      </w:rPr>
                      <w:t>Modi</w:t>
                    </w:r>
                    <w:proofErr w:type="spellEnd"/>
                  </w:p>
                </w:tc>
              </w:sdtContent>
            </w:sdt>
          </w:tr>
        </w:tbl>
        <w:p w:rsidR="00FE452F" w:rsidRDefault="00FF41A6" w:rsidP="003F0D26"/>
      </w:sdtContent>
    </w:sdt>
    <w:p w:rsidR="001655AE" w:rsidRPr="00FE452F" w:rsidRDefault="00700516" w:rsidP="00467902">
      <w:pPr>
        <w:jc w:val="both"/>
      </w:pPr>
      <w:r>
        <w:br w:type="page"/>
      </w:r>
      <w:r w:rsidR="003C0B43" w:rsidRPr="00700516">
        <w:rPr>
          <w:b/>
          <w:sz w:val="28"/>
        </w:rPr>
        <w:lastRenderedPageBreak/>
        <w:t>Objective/Scope</w:t>
      </w:r>
    </w:p>
    <w:p w:rsidR="003C0B43" w:rsidRDefault="003C0B43" w:rsidP="00467902">
      <w:pPr>
        <w:jc w:val="both"/>
      </w:pPr>
    </w:p>
    <w:p w:rsidR="003C0B43" w:rsidRDefault="001E5DBC" w:rsidP="00467902">
      <w:pPr>
        <w:jc w:val="both"/>
      </w:pPr>
      <w:r>
        <w:t xml:space="preserve">The purpose of this </w:t>
      </w:r>
      <w:r w:rsidR="007F55B3">
        <w:t>article is to determine</w:t>
      </w:r>
      <w:r w:rsidR="00D26B1B">
        <w:t xml:space="preserve"> how many units of each style Sport </w:t>
      </w:r>
      <w:proofErr w:type="spellStart"/>
      <w:r w:rsidR="00D26B1B">
        <w:t>Obermeyer</w:t>
      </w:r>
      <w:proofErr w:type="spellEnd"/>
      <w:r w:rsidR="00D26B1B">
        <w:t xml:space="preserve"> should produce during its initial phase of production (November through March) and during its second phase of production (March</w:t>
      </w:r>
      <w:r w:rsidR="00D57A87">
        <w:t xml:space="preserve"> through October).  Factors that need to be considered in this decision are t</w:t>
      </w:r>
      <w:r w:rsidR="00D26B1B">
        <w:t>he risk associated with each style</w:t>
      </w:r>
      <w:r w:rsidR="00D57A87">
        <w:t>, from where each product will be sourced (</w:t>
      </w:r>
      <w:r w:rsidR="00D26B1B">
        <w:t>Hong Kong or China</w:t>
      </w:r>
      <w:r w:rsidR="00D57A87">
        <w:t xml:space="preserve">), and the numerical and opportunity costs associated with the sourcing decision.  Operational changes are also recommended in order to improve performance in the short and long-term. </w:t>
      </w:r>
      <w:r w:rsidR="00D26B1B">
        <w:t xml:space="preserve"> </w:t>
      </w:r>
    </w:p>
    <w:p w:rsidR="003C0B43" w:rsidRDefault="003C0B43" w:rsidP="00467902">
      <w:pPr>
        <w:jc w:val="both"/>
      </w:pPr>
    </w:p>
    <w:p w:rsidR="001E30F2" w:rsidRDefault="003C0B43" w:rsidP="00933F8A">
      <w:pPr>
        <w:jc w:val="both"/>
        <w:rPr>
          <w:b/>
        </w:rPr>
      </w:pPr>
      <w:r w:rsidRPr="00700516">
        <w:rPr>
          <w:b/>
          <w:sz w:val="28"/>
        </w:rPr>
        <w:t>Recommendations</w:t>
      </w:r>
    </w:p>
    <w:p w:rsidR="00D76571" w:rsidRDefault="00D76571" w:rsidP="00933F8A">
      <w:pPr>
        <w:jc w:val="both"/>
        <w:rPr>
          <w:b/>
        </w:rPr>
      </w:pPr>
    </w:p>
    <w:p w:rsidR="00DD4632" w:rsidRDefault="000D5D49" w:rsidP="00933F8A">
      <w:pPr>
        <w:jc w:val="both"/>
      </w:pPr>
      <w:r>
        <w:t>Through a risk analysis it is recommended that</w:t>
      </w:r>
      <w:r w:rsidR="00DD4632">
        <w:t>:</w:t>
      </w:r>
    </w:p>
    <w:p w:rsidR="00034112" w:rsidRDefault="00034112" w:rsidP="00933F8A">
      <w:pPr>
        <w:jc w:val="both"/>
      </w:pPr>
    </w:p>
    <w:p w:rsidR="00034112" w:rsidRDefault="00034112" w:rsidP="00034112">
      <w:pPr>
        <w:pStyle w:val="ListParagraph"/>
        <w:numPr>
          <w:ilvl w:val="0"/>
          <w:numId w:val="12"/>
        </w:numPr>
        <w:jc w:val="both"/>
      </w:pPr>
      <w:r>
        <w:t xml:space="preserve">The </w:t>
      </w:r>
      <w:r w:rsidR="00176297">
        <w:t xml:space="preserve">Assault, </w:t>
      </w:r>
      <w:r>
        <w:t xml:space="preserve">Seduced, Entice, and Electra </w:t>
      </w:r>
      <w:r w:rsidR="000025B3">
        <w:t xml:space="preserve">lines </w:t>
      </w:r>
      <w:r w:rsidR="0059017C">
        <w:t>are</w:t>
      </w:r>
      <w:r>
        <w:t xml:space="preserve"> produced in China</w:t>
      </w:r>
      <w:r w:rsidR="00451AA3">
        <w:t xml:space="preserve"> for both the first and second production phase.</w:t>
      </w:r>
    </w:p>
    <w:p w:rsidR="00034112" w:rsidRDefault="00034112" w:rsidP="00034112">
      <w:pPr>
        <w:pStyle w:val="ListParagraph"/>
        <w:numPr>
          <w:ilvl w:val="0"/>
          <w:numId w:val="12"/>
        </w:numPr>
        <w:jc w:val="both"/>
      </w:pPr>
      <w:r>
        <w:t xml:space="preserve">The </w:t>
      </w:r>
      <w:r w:rsidR="00176297">
        <w:t xml:space="preserve">Gail, </w:t>
      </w:r>
      <w:r>
        <w:t xml:space="preserve">Daphne, Isis, Anita, Teri, and Stephanie </w:t>
      </w:r>
      <w:r w:rsidR="000025B3">
        <w:t xml:space="preserve">lines </w:t>
      </w:r>
      <w:r w:rsidR="0059017C">
        <w:t>are</w:t>
      </w:r>
      <w:r>
        <w:t xml:space="preserve"> produced in Hong Kong </w:t>
      </w:r>
      <w:r w:rsidR="00451AA3">
        <w:t>for both the first and second production phase.</w:t>
      </w:r>
    </w:p>
    <w:p w:rsidR="00034112" w:rsidRDefault="00034112" w:rsidP="00034112">
      <w:pPr>
        <w:pStyle w:val="ListParagraph"/>
        <w:numPr>
          <w:ilvl w:val="0"/>
          <w:numId w:val="12"/>
        </w:numPr>
        <w:jc w:val="both"/>
      </w:pPr>
      <w:r>
        <w:t xml:space="preserve">The following quantities </w:t>
      </w:r>
      <w:proofErr w:type="gramStart"/>
      <w:r>
        <w:t>be</w:t>
      </w:r>
      <w:proofErr w:type="gramEnd"/>
      <w:r>
        <w:t xml:space="preserve"> ordered of each style</w:t>
      </w:r>
      <w:r w:rsidR="00176297">
        <w:t xml:space="preserve"> or he first order</w:t>
      </w:r>
      <w:r>
        <w:t>:</w:t>
      </w:r>
      <w:r w:rsidR="00176297">
        <w:t xml:space="preserve"> Assault (2</w:t>
      </w:r>
      <w:r w:rsidR="001B564E">
        <w:t>,</w:t>
      </w:r>
      <w:r w:rsidR="00176297">
        <w:t>020), Seduced (3</w:t>
      </w:r>
      <w:r w:rsidR="001B564E">
        <w:t>,</w:t>
      </w:r>
      <w:r w:rsidR="00176297">
        <w:t>213), Entice (1</w:t>
      </w:r>
      <w:r w:rsidR="001B564E">
        <w:t>,</w:t>
      </w:r>
      <w:r w:rsidR="00176297">
        <w:t>200), Electra (1</w:t>
      </w:r>
      <w:r w:rsidR="001B564E">
        <w:t>,</w:t>
      </w:r>
      <w:r w:rsidR="00176297">
        <w:t>720), Gail (813), Daphne (600), Isis (600), Anita (600), Teri (600), and Stephanie (600).</w:t>
      </w:r>
    </w:p>
    <w:p w:rsidR="00176297" w:rsidRDefault="00176297" w:rsidP="00176297">
      <w:pPr>
        <w:pStyle w:val="ListParagraph"/>
        <w:numPr>
          <w:ilvl w:val="0"/>
          <w:numId w:val="12"/>
        </w:numPr>
        <w:jc w:val="both"/>
      </w:pPr>
      <w:r>
        <w:t>The following quantities be ordered of each style or he first order: Assault (505), Seduced (804), Entice (158), Electra (430), Gail (204), Daphne (1783), Isis (442), Anita (2</w:t>
      </w:r>
      <w:r w:rsidR="001B564E">
        <w:t>,</w:t>
      </w:r>
      <w:r>
        <w:t>637), Teri (500), and Stephanie (513).</w:t>
      </w:r>
      <w:r w:rsidR="000C77BD">
        <w:t xml:space="preserve"> *See Assumptions.</w:t>
      </w:r>
    </w:p>
    <w:p w:rsidR="00034112" w:rsidRDefault="00034112" w:rsidP="0059017C">
      <w:pPr>
        <w:jc w:val="both"/>
      </w:pPr>
    </w:p>
    <w:p w:rsidR="0059017C" w:rsidRDefault="00B33BE0" w:rsidP="0059017C">
      <w:pPr>
        <w:jc w:val="center"/>
      </w:pPr>
      <w:r w:rsidRPr="00B33BE0">
        <w:drawing>
          <wp:inline distT="0" distB="0" distL="0" distR="0">
            <wp:extent cx="3550920" cy="26835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50920" cy="2683510"/>
                    </a:xfrm>
                    <a:prstGeom prst="rect">
                      <a:avLst/>
                    </a:prstGeom>
                    <a:noFill/>
                    <a:ln w="9525">
                      <a:noFill/>
                      <a:miter lim="800000"/>
                      <a:headEnd/>
                      <a:tailEnd/>
                    </a:ln>
                  </pic:spPr>
                </pic:pic>
              </a:graphicData>
            </a:graphic>
          </wp:inline>
        </w:drawing>
      </w:r>
    </w:p>
    <w:p w:rsidR="00034112" w:rsidRDefault="00034112" w:rsidP="00034112">
      <w:pPr>
        <w:ind w:left="360"/>
        <w:jc w:val="both"/>
      </w:pPr>
    </w:p>
    <w:p w:rsidR="001A05CB" w:rsidRPr="001A05CB" w:rsidRDefault="001A05CB" w:rsidP="00176297">
      <w:pPr>
        <w:tabs>
          <w:tab w:val="left" w:pos="7424"/>
        </w:tabs>
        <w:jc w:val="both"/>
      </w:pPr>
      <w:r w:rsidRPr="001A05CB">
        <w:t xml:space="preserve">It is </w:t>
      </w:r>
      <w:r>
        <w:t xml:space="preserve">also recommended that short term and long term operational changes </w:t>
      </w:r>
      <w:r w:rsidR="00CC5833">
        <w:t>are</w:t>
      </w:r>
      <w:r>
        <w:t xml:space="preserve"> implemented in order to make production more fluid and productive</w:t>
      </w:r>
      <w:r w:rsidR="00ED7532">
        <w:t xml:space="preserve">.  </w:t>
      </w:r>
      <w:r w:rsidR="0019176F">
        <w:t>These changes include:</w:t>
      </w:r>
    </w:p>
    <w:p w:rsidR="00E84727" w:rsidRDefault="00E84727" w:rsidP="00467902">
      <w:pPr>
        <w:autoSpaceDE w:val="0"/>
        <w:autoSpaceDN w:val="0"/>
        <w:adjustRightInd w:val="0"/>
        <w:jc w:val="both"/>
        <w:rPr>
          <w:szCs w:val="24"/>
        </w:rPr>
      </w:pPr>
    </w:p>
    <w:p w:rsidR="00AA0DBB" w:rsidRDefault="00AA0DBB" w:rsidP="00AA0DBB">
      <w:pPr>
        <w:pStyle w:val="ListParagraph"/>
        <w:numPr>
          <w:ilvl w:val="0"/>
          <w:numId w:val="14"/>
        </w:numPr>
        <w:autoSpaceDE w:val="0"/>
        <w:autoSpaceDN w:val="0"/>
        <w:adjustRightInd w:val="0"/>
        <w:jc w:val="both"/>
        <w:rPr>
          <w:szCs w:val="24"/>
        </w:rPr>
      </w:pPr>
      <w:r>
        <w:rPr>
          <w:szCs w:val="24"/>
        </w:rPr>
        <w:t xml:space="preserve">The maximum production should </w:t>
      </w:r>
      <w:r w:rsidR="00543790">
        <w:rPr>
          <w:szCs w:val="24"/>
        </w:rPr>
        <w:t>be increased (Short-Term).</w:t>
      </w:r>
    </w:p>
    <w:p w:rsidR="00AA0DBB" w:rsidRPr="00AA0DBB" w:rsidRDefault="00543790" w:rsidP="00AA0DBB">
      <w:pPr>
        <w:pStyle w:val="ListParagraph"/>
        <w:numPr>
          <w:ilvl w:val="0"/>
          <w:numId w:val="14"/>
        </w:numPr>
        <w:autoSpaceDE w:val="0"/>
        <w:autoSpaceDN w:val="0"/>
        <w:adjustRightInd w:val="0"/>
        <w:jc w:val="both"/>
        <w:rPr>
          <w:szCs w:val="24"/>
        </w:rPr>
      </w:pPr>
      <w:r>
        <w:rPr>
          <w:szCs w:val="24"/>
        </w:rPr>
        <w:t>Workers of the China plant should be trained to make products faster and of higher quality in order to shorten the lead time of products (Long-Term).</w:t>
      </w:r>
    </w:p>
    <w:p w:rsidR="00AA0DBB" w:rsidRPr="001E30F2" w:rsidRDefault="00AA0DBB" w:rsidP="00467902">
      <w:pPr>
        <w:autoSpaceDE w:val="0"/>
        <w:autoSpaceDN w:val="0"/>
        <w:adjustRightInd w:val="0"/>
        <w:jc w:val="both"/>
        <w:rPr>
          <w:szCs w:val="24"/>
        </w:rPr>
      </w:pPr>
    </w:p>
    <w:p w:rsidR="003C0B43" w:rsidRPr="00700516" w:rsidRDefault="003C0B43" w:rsidP="00467902">
      <w:pPr>
        <w:jc w:val="both"/>
        <w:rPr>
          <w:b/>
        </w:rPr>
      </w:pPr>
      <w:r w:rsidRPr="00700516">
        <w:rPr>
          <w:b/>
          <w:sz w:val="28"/>
        </w:rPr>
        <w:t>Analysis</w:t>
      </w:r>
    </w:p>
    <w:p w:rsidR="007D4832" w:rsidRDefault="00927A40" w:rsidP="007D4832">
      <w:pPr>
        <w:jc w:val="both"/>
        <w:rPr>
          <w:i/>
        </w:rPr>
      </w:pPr>
      <w:r>
        <w:rPr>
          <w:i/>
        </w:rPr>
        <w:lastRenderedPageBreak/>
        <w:t>Risk Assessment</w:t>
      </w:r>
    </w:p>
    <w:p w:rsidR="007D4832" w:rsidRDefault="007D4832" w:rsidP="007D4832">
      <w:pPr>
        <w:jc w:val="both"/>
        <w:rPr>
          <w:i/>
        </w:rPr>
      </w:pPr>
    </w:p>
    <w:p w:rsidR="007D4832" w:rsidRDefault="007D4832" w:rsidP="007D4832">
      <w:pPr>
        <w:jc w:val="both"/>
      </w:pPr>
      <w:r>
        <w:t xml:space="preserve">In order to determine what items should be produced </w:t>
      </w:r>
      <w:proofErr w:type="gramStart"/>
      <w:r w:rsidR="005246BC">
        <w:t>where,</w:t>
      </w:r>
      <w:proofErr w:type="gramEnd"/>
      <w:r>
        <w:t xml:space="preserve"> a risk assessment was </w:t>
      </w:r>
      <w:r w:rsidR="005246BC">
        <w:t xml:space="preserve">conducted for all lines per the average forecast for each line.  The </w:t>
      </w:r>
      <w:r w:rsidR="00CF3F61">
        <w:t>Coefficient of V</w:t>
      </w:r>
      <w:r w:rsidR="005246BC">
        <w:t>ariation</w:t>
      </w:r>
      <w:r w:rsidR="00CF3F61">
        <w:t xml:space="preserve"> (COV)</w:t>
      </w:r>
      <w:r w:rsidR="005246BC">
        <w:t xml:space="preserve"> was determined in order to analyze the risk associated with each line.</w:t>
      </w:r>
    </w:p>
    <w:p w:rsidR="00CF3F61" w:rsidRDefault="00CF3F61" w:rsidP="007D4832">
      <w:pPr>
        <w:jc w:val="both"/>
      </w:pPr>
    </w:p>
    <w:p w:rsidR="00CF0B22" w:rsidRDefault="00CF3F61" w:rsidP="00E97636">
      <w:pPr>
        <w:jc w:val="both"/>
      </w:pPr>
      <w:r>
        <w:t xml:space="preserve">A benchmark of 0.2 COV was used to determine the associated risk.  </w:t>
      </w:r>
      <w:r w:rsidR="00E97636">
        <w:t xml:space="preserve">Any item with </w:t>
      </w:r>
      <w:r>
        <w:t>a COV</w:t>
      </w:r>
      <w:r w:rsidR="00E97636">
        <w:t xml:space="preserve"> below 0.2 is considered a low risk item while any item with a COV higher than 0.2 is considered a high risk item.  </w:t>
      </w:r>
    </w:p>
    <w:p w:rsidR="00CF0B22" w:rsidRDefault="00CF0B22" w:rsidP="00CF0B22">
      <w:pPr>
        <w:jc w:val="both"/>
      </w:pPr>
    </w:p>
    <w:p w:rsidR="00CF0B22" w:rsidRDefault="00CF0B22" w:rsidP="00CF0B22">
      <w:pPr>
        <w:jc w:val="both"/>
      </w:pPr>
      <w:r>
        <w:t xml:space="preserve">When sourcing from China, four styles need to be ordered in excess of the average forecast in order to reach minimum production amounts.  To determine how many of each style to order in the first round, preference was given to the lower risk items.  80% of the lower risk items should be ordered initially because it is more certain that the amounts forecasted will be accurate.  For items with a COV above 0.2 only 20% of the average forecast will be ordered so that Sport </w:t>
      </w:r>
      <w:proofErr w:type="spellStart"/>
      <w:r>
        <w:t>Obermeyer</w:t>
      </w:r>
      <w:proofErr w:type="spellEnd"/>
      <w:r>
        <w:t xml:space="preserve"> can wait until after the Las Vegas show to verify with 80% certainty the success of each style.</w:t>
      </w:r>
    </w:p>
    <w:p w:rsidR="00BD6768" w:rsidRDefault="00BD6768" w:rsidP="00E97636">
      <w:pPr>
        <w:jc w:val="both"/>
      </w:pPr>
    </w:p>
    <w:p w:rsidR="00891D68" w:rsidRDefault="00E97636" w:rsidP="00E97636">
      <w:pPr>
        <w:jc w:val="both"/>
      </w:pPr>
      <w:r>
        <w:t>It is recommended that any high risk item be produced in Hong Kong because they are more flexible, produce higher quality items, and the minimum production requirements for an order is only 600 units versus the 1,200 units required in China.</w:t>
      </w:r>
      <w:r w:rsidR="00E02EFF">
        <w:t xml:space="preserve">  [Please refer to Exhibit 1]</w:t>
      </w:r>
    </w:p>
    <w:p w:rsidR="00891D68" w:rsidRDefault="00891D68" w:rsidP="00E97636">
      <w:pPr>
        <w:jc w:val="both"/>
      </w:pPr>
    </w:p>
    <w:p w:rsidR="00FB1180" w:rsidRDefault="00E97636" w:rsidP="00E97636">
      <w:pPr>
        <w:jc w:val="both"/>
      </w:pPr>
      <w:r>
        <w:t>Likewise, if an item requires less than 1,200 units, it should be required that it be produced in Hong Kong due to production requirements and to keep from overproducing.</w:t>
      </w:r>
      <w:r w:rsidR="00EF0C8B">
        <w:t xml:space="preserve">  </w:t>
      </w:r>
      <w:r w:rsidR="00FB1180">
        <w:t xml:space="preserve">It must also be noted that the maximum production for Sport </w:t>
      </w:r>
      <w:proofErr w:type="spellStart"/>
      <w:r w:rsidR="00FB1180">
        <w:t>Obermeyer</w:t>
      </w:r>
      <w:proofErr w:type="spellEnd"/>
      <w:r w:rsidR="00FB1180">
        <w:t xml:space="preserve"> is 20,000 units </w:t>
      </w:r>
      <w:r w:rsidR="00EF0C8B">
        <w:t xml:space="preserve">(on a 10% scale) and therefore this should be met but </w:t>
      </w:r>
      <w:r w:rsidR="005F1D65">
        <w:t>not exceeded within both orders combined.</w:t>
      </w:r>
    </w:p>
    <w:p w:rsidR="007D4832" w:rsidRDefault="007D4832" w:rsidP="007D4832">
      <w:pPr>
        <w:jc w:val="both"/>
        <w:rPr>
          <w:i/>
        </w:rPr>
      </w:pPr>
    </w:p>
    <w:p w:rsidR="009D1181" w:rsidRDefault="009D1181" w:rsidP="009D1181">
      <w:pPr>
        <w:jc w:val="both"/>
        <w:rPr>
          <w:i/>
        </w:rPr>
      </w:pPr>
      <w:r>
        <w:rPr>
          <w:i/>
        </w:rPr>
        <w:t>Assessment of Producing All Products in Hong Kong</w:t>
      </w:r>
    </w:p>
    <w:p w:rsidR="009D1181" w:rsidRDefault="009D1181" w:rsidP="009D1181">
      <w:pPr>
        <w:jc w:val="both"/>
        <w:rPr>
          <w:i/>
        </w:rPr>
      </w:pPr>
    </w:p>
    <w:p w:rsidR="009D1181" w:rsidRDefault="00BD6768" w:rsidP="009D1181">
      <w:pPr>
        <w:jc w:val="both"/>
      </w:pPr>
      <w:r>
        <w:t xml:space="preserve">At the Hong Kong plant, there is a minimum of 600 units required per line produced.  For this reason, </w:t>
      </w:r>
      <w:r w:rsidR="00FB1180">
        <w:t xml:space="preserve">the </w:t>
      </w:r>
      <w:r w:rsidR="007543D0">
        <w:t xml:space="preserve">initial </w:t>
      </w:r>
      <w:r w:rsidR="00FB1180">
        <w:t>quantity for the Da</w:t>
      </w:r>
      <w:r w:rsidR="00F52BBB">
        <w:t>p</w:t>
      </w:r>
      <w:r w:rsidR="00FB1180">
        <w:t>hne, Isis, Teri, and Stephanie lines would need to be increased to meet this requirement</w:t>
      </w:r>
      <w:r w:rsidR="007543D0">
        <w:t xml:space="preserve"> for the first order</w:t>
      </w:r>
      <w:r w:rsidR="00FB1180">
        <w:t xml:space="preserve">.  </w:t>
      </w:r>
      <w:r w:rsidR="00E25D86">
        <w:t xml:space="preserve">The quantity ordered per line </w:t>
      </w:r>
      <w:r w:rsidR="00103DAE">
        <w:t xml:space="preserve">for the first order </w:t>
      </w:r>
      <w:r w:rsidR="00E25D86">
        <w:t>would be as follows: Assault (2</w:t>
      </w:r>
      <w:r w:rsidR="001B564E">
        <w:t>,</w:t>
      </w:r>
      <w:r w:rsidR="00E25D86">
        <w:t>020), Seduced (3</w:t>
      </w:r>
      <w:r w:rsidR="001B564E">
        <w:t>,</w:t>
      </w:r>
      <w:r w:rsidR="00E25D86">
        <w:t>213), Entice (1</w:t>
      </w:r>
      <w:r w:rsidR="001B564E">
        <w:t>,</w:t>
      </w:r>
      <w:r w:rsidR="00E25D86">
        <w:t>087), Electra (1</w:t>
      </w:r>
      <w:r w:rsidR="001B564E">
        <w:t>,</w:t>
      </w:r>
      <w:r w:rsidR="00E25D86">
        <w:t>720), Gail (813), Daphne (600), Isis (600), Anita (659), Teri (600), and Stephanie (600).</w:t>
      </w:r>
    </w:p>
    <w:p w:rsidR="00416BA8" w:rsidRDefault="00416BA8" w:rsidP="009D1181">
      <w:pPr>
        <w:jc w:val="both"/>
      </w:pPr>
    </w:p>
    <w:p w:rsidR="009D1181" w:rsidRDefault="00416BA8" w:rsidP="009D1181">
      <w:pPr>
        <w:jc w:val="both"/>
        <w:rPr>
          <w:i/>
        </w:rPr>
      </w:pPr>
      <w:r>
        <w:t>The second order quantity per item would be as follows: Assault (</w:t>
      </w:r>
      <w:r w:rsidR="0024018A">
        <w:t>505), Seduced (803</w:t>
      </w:r>
      <w:r>
        <w:t>), Entice (</w:t>
      </w:r>
      <w:r w:rsidR="0024018A">
        <w:t>272</w:t>
      </w:r>
      <w:r>
        <w:t>), Electra (430), Gail (</w:t>
      </w:r>
      <w:r w:rsidR="0024018A">
        <w:t>2</w:t>
      </w:r>
      <w:r>
        <w:t>0</w:t>
      </w:r>
      <w:r w:rsidR="0024018A">
        <w:t>3</w:t>
      </w:r>
      <w:r>
        <w:t>), Daphne (</w:t>
      </w:r>
      <w:r w:rsidR="0024018A">
        <w:t>1,7</w:t>
      </w:r>
      <w:r>
        <w:t>83), Isis (</w:t>
      </w:r>
      <w:r w:rsidR="0024018A">
        <w:t>442</w:t>
      </w:r>
      <w:r>
        <w:t>), Anita (2,</w:t>
      </w:r>
      <w:r w:rsidR="0024018A">
        <w:t>637</w:t>
      </w:r>
      <w:r>
        <w:t>), Teri (</w:t>
      </w:r>
      <w:r w:rsidR="0024018A">
        <w:t>50</w:t>
      </w:r>
      <w:r>
        <w:t>0), and Stephanie (</w:t>
      </w:r>
      <w:r w:rsidR="0024018A">
        <w:t>513</w:t>
      </w:r>
      <w:r>
        <w:t>).</w:t>
      </w:r>
      <w:r>
        <w:rPr>
          <w:i/>
        </w:rPr>
        <w:t>*</w:t>
      </w:r>
      <w:r w:rsidR="00EB66C8">
        <w:rPr>
          <w:i/>
        </w:rPr>
        <w:t xml:space="preserve">  </w:t>
      </w:r>
    </w:p>
    <w:p w:rsidR="00EB66C8" w:rsidRDefault="00EB66C8" w:rsidP="009D1181">
      <w:pPr>
        <w:jc w:val="both"/>
        <w:rPr>
          <w:i/>
        </w:rPr>
      </w:pPr>
    </w:p>
    <w:p w:rsidR="00EB66C8" w:rsidRPr="00EB66C8" w:rsidRDefault="00EB66C8" w:rsidP="009D1181">
      <w:pPr>
        <w:jc w:val="both"/>
      </w:pPr>
      <w:r>
        <w:t>This brings the total units produced in order</w:t>
      </w:r>
      <w:r w:rsidR="00A86F92">
        <w:t>s</w:t>
      </w:r>
      <w:r>
        <w:t xml:space="preserve"> one and two to the maximum of 20,000 units.</w:t>
      </w:r>
    </w:p>
    <w:p w:rsidR="00BA643F" w:rsidRDefault="00BA643F" w:rsidP="009D1181">
      <w:pPr>
        <w:jc w:val="both"/>
        <w:rPr>
          <w:i/>
        </w:rPr>
      </w:pPr>
    </w:p>
    <w:p w:rsidR="00BA643F" w:rsidRPr="00BA643F" w:rsidRDefault="00BA643F" w:rsidP="009D1181">
      <w:pPr>
        <w:jc w:val="both"/>
      </w:pPr>
      <w:r>
        <w:t>[Please refer to Exhibit 2]</w:t>
      </w:r>
    </w:p>
    <w:p w:rsidR="00416BA8" w:rsidRDefault="00416BA8" w:rsidP="009D1181">
      <w:pPr>
        <w:jc w:val="both"/>
        <w:rPr>
          <w:i/>
        </w:rPr>
      </w:pPr>
    </w:p>
    <w:p w:rsidR="007D4832" w:rsidRDefault="007D4832" w:rsidP="007D4832">
      <w:pPr>
        <w:jc w:val="both"/>
        <w:rPr>
          <w:i/>
        </w:rPr>
      </w:pPr>
      <w:r>
        <w:rPr>
          <w:i/>
        </w:rPr>
        <w:t xml:space="preserve">Assessment of Producing All Products in </w:t>
      </w:r>
      <w:r w:rsidR="00927A40">
        <w:rPr>
          <w:i/>
        </w:rPr>
        <w:t>China</w:t>
      </w:r>
    </w:p>
    <w:p w:rsidR="007D4832" w:rsidRDefault="007D4832" w:rsidP="007D4832">
      <w:pPr>
        <w:jc w:val="both"/>
        <w:rPr>
          <w:i/>
        </w:rPr>
      </w:pPr>
    </w:p>
    <w:p w:rsidR="001B564E" w:rsidRPr="009D1181" w:rsidRDefault="001B564E" w:rsidP="001B564E">
      <w:pPr>
        <w:jc w:val="both"/>
      </w:pPr>
      <w:r>
        <w:t xml:space="preserve">At the China plant, there is a minimum of 1,200 units required per line produced.  For this reason, the </w:t>
      </w:r>
      <w:r w:rsidR="007543D0">
        <w:t xml:space="preserve">initial </w:t>
      </w:r>
      <w:r>
        <w:t xml:space="preserve">quantity for the </w:t>
      </w:r>
      <w:r w:rsidR="008A09B3">
        <w:t xml:space="preserve">Entice, Gail, </w:t>
      </w:r>
      <w:r>
        <w:t>Da</w:t>
      </w:r>
      <w:r w:rsidR="00F52BBB">
        <w:t>p</w:t>
      </w:r>
      <w:r>
        <w:t xml:space="preserve">hne, Isis, </w:t>
      </w:r>
      <w:r w:rsidR="008A09B3">
        <w:t xml:space="preserve">Anita, </w:t>
      </w:r>
      <w:r>
        <w:t>Teri, and Stephanie lines would need to be increased to meet this requirement</w:t>
      </w:r>
      <w:r w:rsidR="007543D0">
        <w:t xml:space="preserve"> for the fi</w:t>
      </w:r>
      <w:r w:rsidR="00F52BBB">
        <w:t>r</w:t>
      </w:r>
      <w:r w:rsidR="007543D0">
        <w:t>st order</w:t>
      </w:r>
      <w:r>
        <w:t xml:space="preserve">.  The quantity ordered per line </w:t>
      </w:r>
      <w:r w:rsidR="00103DAE">
        <w:t xml:space="preserve">for the first order </w:t>
      </w:r>
      <w:r>
        <w:t>would be as follows: Assault (2</w:t>
      </w:r>
      <w:r w:rsidR="008A09B3">
        <w:t>,</w:t>
      </w:r>
      <w:r>
        <w:t>020), Seduced (3</w:t>
      </w:r>
      <w:r w:rsidR="002E5FA0">
        <w:t>,213), Entice (1,200</w:t>
      </w:r>
      <w:r>
        <w:t>), Electra (1</w:t>
      </w:r>
      <w:r w:rsidR="002E5FA0">
        <w:t>,</w:t>
      </w:r>
      <w:r>
        <w:t>720), Gail (</w:t>
      </w:r>
      <w:r w:rsidR="002E5FA0">
        <w:t>1,200</w:t>
      </w:r>
      <w:r>
        <w:t>), Daphne (</w:t>
      </w:r>
      <w:r w:rsidR="002E5FA0">
        <w:t>1,200</w:t>
      </w:r>
      <w:r>
        <w:t>), Isis (</w:t>
      </w:r>
      <w:r w:rsidR="002E5FA0">
        <w:t>1,200</w:t>
      </w:r>
      <w:r>
        <w:t>), Anita (</w:t>
      </w:r>
      <w:r w:rsidR="002E5FA0">
        <w:t>1,200</w:t>
      </w:r>
      <w:r>
        <w:t>), Teri (</w:t>
      </w:r>
      <w:r w:rsidR="002E5FA0">
        <w:t>1,200</w:t>
      </w:r>
      <w:r>
        <w:t>), and Stephanie (</w:t>
      </w:r>
      <w:r w:rsidR="002E5FA0">
        <w:t>1,200</w:t>
      </w:r>
      <w:r>
        <w:t>).</w:t>
      </w:r>
    </w:p>
    <w:p w:rsidR="009D1181" w:rsidRPr="009D1181" w:rsidRDefault="009D1181" w:rsidP="007D4832">
      <w:pPr>
        <w:jc w:val="both"/>
      </w:pPr>
    </w:p>
    <w:p w:rsidR="009D1181" w:rsidRDefault="0057691C" w:rsidP="007D4832">
      <w:pPr>
        <w:jc w:val="both"/>
        <w:rPr>
          <w:i/>
        </w:rPr>
      </w:pPr>
      <w:r>
        <w:lastRenderedPageBreak/>
        <w:t>The second order quantity per item would be as follows: Assault (505), Seduced (804), Entice (158), Electra (430), Gail (0), Daphne (1,183), Isis (0), Anita (2,096), Teri (0), and Stephanie (0).</w:t>
      </w:r>
      <w:r>
        <w:rPr>
          <w:i/>
        </w:rPr>
        <w:t>*</w:t>
      </w:r>
    </w:p>
    <w:p w:rsidR="00EB66C8" w:rsidRDefault="00EB66C8" w:rsidP="007D4832">
      <w:pPr>
        <w:jc w:val="both"/>
        <w:rPr>
          <w:i/>
        </w:rPr>
      </w:pPr>
    </w:p>
    <w:p w:rsidR="00EB66C8" w:rsidRPr="00EB66C8" w:rsidRDefault="00EB66C8" w:rsidP="007D4832">
      <w:pPr>
        <w:jc w:val="both"/>
      </w:pPr>
      <w:r>
        <w:t>This brings the total units produced in order</w:t>
      </w:r>
      <w:r w:rsidR="00A86F92">
        <w:t>s</w:t>
      </w:r>
      <w:r>
        <w:t xml:space="preserve"> one and two over the maximum of 20,000 units to 20,529 total produced units.</w:t>
      </w:r>
    </w:p>
    <w:p w:rsidR="0057691C" w:rsidRDefault="0057691C" w:rsidP="007D4832">
      <w:pPr>
        <w:jc w:val="both"/>
        <w:rPr>
          <w:i/>
        </w:rPr>
      </w:pPr>
    </w:p>
    <w:p w:rsidR="00BA643F" w:rsidRPr="00BA643F" w:rsidRDefault="00BA643F" w:rsidP="007D4832">
      <w:pPr>
        <w:jc w:val="both"/>
      </w:pPr>
      <w:r>
        <w:t>[Please refer to Exhibit 3]</w:t>
      </w:r>
    </w:p>
    <w:p w:rsidR="00BA643F" w:rsidRDefault="00BA643F" w:rsidP="007D4832">
      <w:pPr>
        <w:jc w:val="both"/>
        <w:rPr>
          <w:i/>
        </w:rPr>
      </w:pPr>
    </w:p>
    <w:p w:rsidR="007D4832" w:rsidRDefault="007D4832" w:rsidP="007D4832">
      <w:pPr>
        <w:jc w:val="both"/>
        <w:rPr>
          <w:i/>
        </w:rPr>
      </w:pPr>
      <w:r>
        <w:rPr>
          <w:i/>
        </w:rPr>
        <w:t>Recommended Pr</w:t>
      </w:r>
      <w:r w:rsidR="00927A40">
        <w:rPr>
          <w:i/>
        </w:rPr>
        <w:t xml:space="preserve">oduction </w:t>
      </w:r>
      <w:r w:rsidR="00BD5275">
        <w:rPr>
          <w:i/>
        </w:rPr>
        <w:t>Totals</w:t>
      </w:r>
    </w:p>
    <w:p w:rsidR="007D4832" w:rsidRDefault="007D4832" w:rsidP="007D4832">
      <w:pPr>
        <w:jc w:val="both"/>
        <w:rPr>
          <w:i/>
        </w:rPr>
      </w:pPr>
    </w:p>
    <w:p w:rsidR="00BA0CEA" w:rsidRDefault="00BA0CEA" w:rsidP="00BA0CEA">
      <w:pPr>
        <w:jc w:val="both"/>
      </w:pPr>
      <w:r>
        <w:t xml:space="preserve">It is recommended that higher risk items be produced at the Hong Kong plant because these items will be produced more quickly and be of higher quality.  It is also beneficial because a majority of the higher risk lines require smaller total quantity orders which Hong Kong is better able to produce because </w:t>
      </w:r>
      <w:r w:rsidR="00614783">
        <w:t>of their smaller unit</w:t>
      </w:r>
      <w:r>
        <w:t xml:space="preserve"> requirement</w:t>
      </w:r>
      <w:r w:rsidR="00614783">
        <w:t>s</w:t>
      </w:r>
      <w:r>
        <w:t xml:space="preserve"> versus China (600 versus 1,200 </w:t>
      </w:r>
      <w:proofErr w:type="gramStart"/>
      <w:r>
        <w:t>units</w:t>
      </w:r>
      <w:proofErr w:type="gramEnd"/>
      <w:r>
        <w:t xml:space="preserve"> minimum respectively).</w:t>
      </w:r>
    </w:p>
    <w:p w:rsidR="000E7196" w:rsidRDefault="000E7196" w:rsidP="00BA0CEA">
      <w:pPr>
        <w:jc w:val="both"/>
      </w:pPr>
    </w:p>
    <w:p w:rsidR="00E13896" w:rsidRDefault="000E7196" w:rsidP="00BA0CEA">
      <w:pPr>
        <w:jc w:val="both"/>
      </w:pPr>
      <w:r>
        <w:t xml:space="preserve">This means that the high risk items should be produced at Hong Kong including: Daphne, Isis, Anita, Teri, and Stephanie.  The Gail line must also be produced at the Hong Kong plant because the total units forecasted is less than the required minimum production at the China plant.  </w:t>
      </w:r>
    </w:p>
    <w:p w:rsidR="00E13896" w:rsidRDefault="00E13896" w:rsidP="00BA0CEA">
      <w:pPr>
        <w:jc w:val="both"/>
      </w:pPr>
    </w:p>
    <w:p w:rsidR="00E13896" w:rsidRPr="00E13896" w:rsidRDefault="00E13896" w:rsidP="00BA0CEA">
      <w:pPr>
        <w:jc w:val="both"/>
        <w:rPr>
          <w:szCs w:val="24"/>
        </w:rPr>
      </w:pPr>
      <w:r>
        <w:rPr>
          <w:szCs w:val="24"/>
        </w:rPr>
        <w:t>Production of styles such as Gail can be over produced.  It has a lower COV and is less risky so production in China seems to make more sense at first assessment.  However, because the minimum amount of 1,200 required for production in China exceeds the average forecast for Gail, or 1,017, it must be sourced in Hong Kong in order to not go over 20,000 items as specified by Wally.</w:t>
      </w:r>
    </w:p>
    <w:p w:rsidR="00E13896" w:rsidRDefault="00E13896" w:rsidP="00BA0CEA">
      <w:pPr>
        <w:jc w:val="both"/>
      </w:pPr>
    </w:p>
    <w:p w:rsidR="000E7196" w:rsidRDefault="000E7196" w:rsidP="00BA0CEA">
      <w:pPr>
        <w:jc w:val="both"/>
      </w:pPr>
      <w:r>
        <w:t>Therefore, all five high risk items and one low risk item should be produced at the Hong Kong pla</w:t>
      </w:r>
      <w:r w:rsidR="0000004D">
        <w:t>nt.  The remaining low risk items should be produced at the China plant including: Assault, Seduced, Entice, and Electra.</w:t>
      </w:r>
    </w:p>
    <w:p w:rsidR="00BA0CEA" w:rsidRDefault="00BA0CEA" w:rsidP="00BA0CEA">
      <w:pPr>
        <w:jc w:val="both"/>
      </w:pPr>
    </w:p>
    <w:p w:rsidR="00BA0CEA" w:rsidRPr="009D1181" w:rsidRDefault="00BA0CEA" w:rsidP="00BA0CEA">
      <w:pPr>
        <w:jc w:val="both"/>
      </w:pPr>
      <w:r>
        <w:t>The quantity ordered per line for the first order would be as follows: Assault (2,020), Seduced (3,213), Entice (1,200), Electra (1,720), Gail (</w:t>
      </w:r>
      <w:r w:rsidR="00B97BD3">
        <w:t>814</w:t>
      </w:r>
      <w:r>
        <w:t>), Daphne (</w:t>
      </w:r>
      <w:r w:rsidR="00B97BD3">
        <w:t>600</w:t>
      </w:r>
      <w:r>
        <w:t>), Isis (</w:t>
      </w:r>
      <w:r w:rsidR="002504A4">
        <w:t>600</w:t>
      </w:r>
      <w:r>
        <w:t>), Anita (</w:t>
      </w:r>
      <w:r w:rsidR="002504A4">
        <w:t>659</w:t>
      </w:r>
      <w:r>
        <w:t>), Teri (</w:t>
      </w:r>
      <w:r w:rsidR="002504A4">
        <w:t>600</w:t>
      </w:r>
      <w:r>
        <w:t>), and Stephanie (</w:t>
      </w:r>
      <w:r w:rsidR="002504A4">
        <w:t>600</w:t>
      </w:r>
      <w:r>
        <w:t>).</w:t>
      </w:r>
      <w:r w:rsidR="00D1480A">
        <w:t xml:space="preserve">  </w:t>
      </w:r>
      <w:r w:rsidR="00885A3B">
        <w:t>This brings the total quantity order</w:t>
      </w:r>
      <w:r w:rsidR="00DD5FAB">
        <w:t>ed</w:t>
      </w:r>
      <w:r w:rsidR="00885A3B">
        <w:t xml:space="preserve"> for the first order to 12,026.  </w:t>
      </w:r>
      <w:r w:rsidR="00D1480A">
        <w:t>[Please Refer to Exhibit 4]</w:t>
      </w:r>
    </w:p>
    <w:p w:rsidR="00BA0CEA" w:rsidRPr="009D1181" w:rsidRDefault="00BA0CEA" w:rsidP="00BA0CEA">
      <w:pPr>
        <w:jc w:val="both"/>
      </w:pPr>
    </w:p>
    <w:p w:rsidR="00BA0CEA" w:rsidRPr="00AA1D9D" w:rsidRDefault="00BA0CEA" w:rsidP="00BA0CEA">
      <w:pPr>
        <w:jc w:val="both"/>
      </w:pPr>
      <w:r>
        <w:t>The second order quantity per item would be as follows: Assault (505), Seduced (804), Entice (158), Electra (430), Gail (</w:t>
      </w:r>
      <w:r w:rsidR="00885A3B">
        <w:t>2</w:t>
      </w:r>
      <w:r>
        <w:t>0</w:t>
      </w:r>
      <w:r w:rsidR="00885A3B">
        <w:t>3</w:t>
      </w:r>
      <w:r>
        <w:t>), Daphne (</w:t>
      </w:r>
      <w:r w:rsidR="00885A3B">
        <w:t>1,783), Isis (442</w:t>
      </w:r>
      <w:r>
        <w:t>), Anita (2,</w:t>
      </w:r>
      <w:r w:rsidR="00885A3B">
        <w:t>637</w:t>
      </w:r>
      <w:r>
        <w:t>), Teri (</w:t>
      </w:r>
      <w:r w:rsidR="00885A3B">
        <w:t>50</w:t>
      </w:r>
      <w:r>
        <w:t>0), and Stephanie (</w:t>
      </w:r>
      <w:r w:rsidR="00885A3B">
        <w:t>513)</w:t>
      </w:r>
      <w:r w:rsidR="00885A3B">
        <w:rPr>
          <w:i/>
        </w:rPr>
        <w:t>*.</w:t>
      </w:r>
      <w:r w:rsidR="00885A3B">
        <w:t xml:space="preserve"> This brings the total quantity order for the first order to </w:t>
      </w:r>
      <w:r w:rsidR="0017424D">
        <w:t>7,975</w:t>
      </w:r>
      <w:r w:rsidR="00885A3B">
        <w:t xml:space="preserve">.  </w:t>
      </w:r>
      <w:r w:rsidR="00AA1D9D">
        <w:t>[Please Refer to Exhibit 4]</w:t>
      </w:r>
    </w:p>
    <w:p w:rsidR="00BA0CEA" w:rsidRDefault="00BA0CEA" w:rsidP="00BA0CEA">
      <w:pPr>
        <w:jc w:val="both"/>
        <w:rPr>
          <w:i/>
        </w:rPr>
      </w:pPr>
    </w:p>
    <w:p w:rsidR="00BA0CEA" w:rsidRPr="00EB66C8" w:rsidRDefault="00BA0CEA" w:rsidP="00BA0CEA">
      <w:pPr>
        <w:jc w:val="both"/>
      </w:pPr>
      <w:r>
        <w:t xml:space="preserve">This </w:t>
      </w:r>
      <w:r w:rsidR="00AA297E">
        <w:t xml:space="preserve">just </w:t>
      </w:r>
      <w:r>
        <w:t xml:space="preserve">brings the total units produced in orders one and </w:t>
      </w:r>
      <w:r w:rsidR="00AA297E">
        <w:t>two over the maximum of 2</w:t>
      </w:r>
      <w:r w:rsidR="00E63342">
        <w:t xml:space="preserve">0,000 units by only one unit.  </w:t>
      </w:r>
      <w:r w:rsidR="00AA297E">
        <w:t xml:space="preserve">This is not something we considered since it is such a </w:t>
      </w:r>
      <w:r w:rsidR="00E63342">
        <w:t>minuscule difference and was only the product of rounding issues.</w:t>
      </w:r>
    </w:p>
    <w:p w:rsidR="003D6090" w:rsidRDefault="003D6090" w:rsidP="00467902">
      <w:pPr>
        <w:jc w:val="both"/>
      </w:pPr>
    </w:p>
    <w:p w:rsidR="00E13896" w:rsidRDefault="001F2C4F" w:rsidP="00467902">
      <w:pPr>
        <w:jc w:val="both"/>
      </w:pPr>
      <w:r>
        <w:t xml:space="preserve">At this point in time, the quantity ordered for the first order will remain stagnant per the average forecast.  However, the second order quantities </w:t>
      </w:r>
      <w:r w:rsidR="009C6C54">
        <w:t>will</w:t>
      </w:r>
      <w:r>
        <w:t xml:space="preserve"> </w:t>
      </w:r>
      <w:r w:rsidR="00235739">
        <w:t>fluctuate</w:t>
      </w:r>
      <w:r>
        <w:t xml:space="preserve"> after orders are placed fol</w:t>
      </w:r>
      <w:r w:rsidR="007717BF">
        <w:t>l</w:t>
      </w:r>
      <w:r w:rsidR="00E81434">
        <w:t>owing the Las Vegas trade show</w:t>
      </w:r>
      <w:r w:rsidR="007717BF">
        <w:t>.</w:t>
      </w:r>
    </w:p>
    <w:p w:rsidR="006770C2" w:rsidRDefault="006770C2" w:rsidP="00467902">
      <w:pPr>
        <w:jc w:val="both"/>
      </w:pPr>
    </w:p>
    <w:p w:rsidR="006770C2" w:rsidRDefault="006770C2" w:rsidP="00467902">
      <w:pPr>
        <w:jc w:val="both"/>
        <w:rPr>
          <w:i/>
        </w:rPr>
      </w:pPr>
      <w:r>
        <w:rPr>
          <w:i/>
        </w:rPr>
        <w:t>Short-term Operational Changes</w:t>
      </w:r>
    </w:p>
    <w:p w:rsidR="006770C2" w:rsidRDefault="006770C2" w:rsidP="00467902">
      <w:pPr>
        <w:jc w:val="both"/>
      </w:pPr>
    </w:p>
    <w:p w:rsidR="006770C2" w:rsidRPr="009B2BCB" w:rsidRDefault="006770C2" w:rsidP="006770C2">
      <w:pPr>
        <w:jc w:val="both"/>
        <w:rPr>
          <w:szCs w:val="24"/>
        </w:rPr>
      </w:pPr>
      <w:r>
        <w:rPr>
          <w:szCs w:val="24"/>
        </w:rPr>
        <w:t xml:space="preserve">The maximum production of 20,000 set by Wally should be increased.  </w:t>
      </w:r>
      <w:r w:rsidR="00613CDB">
        <w:rPr>
          <w:szCs w:val="24"/>
        </w:rPr>
        <w:t>For example, b</w:t>
      </w:r>
      <w:r>
        <w:rPr>
          <w:szCs w:val="24"/>
        </w:rPr>
        <w:t>ecause there is a maximum of 21,000 available units for the production period</w:t>
      </w:r>
      <w:r w:rsidR="00613CDB">
        <w:rPr>
          <w:szCs w:val="24"/>
        </w:rPr>
        <w:t xml:space="preserve"> (30,000 production capacity x 7 months)</w:t>
      </w:r>
      <w:r>
        <w:rPr>
          <w:szCs w:val="24"/>
        </w:rPr>
        <w:t xml:space="preserve">, </w:t>
      </w:r>
      <w:r>
        <w:rPr>
          <w:szCs w:val="24"/>
        </w:rPr>
        <w:lastRenderedPageBreak/>
        <w:t>extra quantity of Gail could be produced without having to cut into production of other styles.  This would be preferable because sourcing Gail from China would require 813 more units to be produced than what is forecasted to be sold. However the cost savings of producing them in China outweigh the cost of selling the extra at an 8% loss</w:t>
      </w:r>
      <w:r w:rsidR="00613CDB">
        <w:rPr>
          <w:szCs w:val="24"/>
        </w:rPr>
        <w:t xml:space="preserve">.  </w:t>
      </w:r>
      <w:r>
        <w:rPr>
          <w:szCs w:val="24"/>
        </w:rPr>
        <w:t>For our recommendations</w:t>
      </w:r>
      <w:r w:rsidR="00613CDB">
        <w:rPr>
          <w:szCs w:val="24"/>
        </w:rPr>
        <w:t>,</w:t>
      </w:r>
      <w:r>
        <w:rPr>
          <w:szCs w:val="24"/>
        </w:rPr>
        <w:t xml:space="preserve"> Gail was produced in Hong Kong in order to adhere to Wally’s 20,000 maximum production guidelines.  In reality, the company produces about 200,000 parkas yearly and has production capacity of 210,000 parkas</w:t>
      </w:r>
      <w:r w:rsidR="00613CDB">
        <w:rPr>
          <w:szCs w:val="24"/>
        </w:rPr>
        <w:t>; t</w:t>
      </w:r>
      <w:r>
        <w:rPr>
          <w:szCs w:val="24"/>
        </w:rPr>
        <w:t>herefore</w:t>
      </w:r>
      <w:r w:rsidR="00613CDB">
        <w:rPr>
          <w:szCs w:val="24"/>
        </w:rPr>
        <w:t>, it is more cost efficient to overproduce from China</w:t>
      </w:r>
      <w:r w:rsidR="005E2EF4">
        <w:rPr>
          <w:szCs w:val="24"/>
        </w:rPr>
        <w:t xml:space="preserve"> in cases such as </w:t>
      </w:r>
      <w:proofErr w:type="gramStart"/>
      <w:r w:rsidR="005E2EF4">
        <w:rPr>
          <w:szCs w:val="24"/>
        </w:rPr>
        <w:t xml:space="preserve">Gail </w:t>
      </w:r>
      <w:r>
        <w:rPr>
          <w:szCs w:val="24"/>
        </w:rPr>
        <w:t>.</w:t>
      </w:r>
      <w:proofErr w:type="gramEnd"/>
      <w:r w:rsidR="00613CDB">
        <w:rPr>
          <w:szCs w:val="24"/>
        </w:rPr>
        <w:t xml:space="preserve">  [Please Refer to Exhibit 5]</w:t>
      </w:r>
    </w:p>
    <w:p w:rsidR="006770C2" w:rsidRPr="006770C2" w:rsidRDefault="006770C2" w:rsidP="00467902">
      <w:pPr>
        <w:jc w:val="both"/>
      </w:pPr>
    </w:p>
    <w:p w:rsidR="006770C2" w:rsidRPr="006770C2" w:rsidRDefault="006770C2" w:rsidP="00467902">
      <w:pPr>
        <w:jc w:val="both"/>
        <w:rPr>
          <w:i/>
        </w:rPr>
      </w:pPr>
      <w:r>
        <w:rPr>
          <w:i/>
        </w:rPr>
        <w:t>Long-term Operational Changes</w:t>
      </w:r>
    </w:p>
    <w:p w:rsidR="00931B69" w:rsidRDefault="00931B69" w:rsidP="00467902">
      <w:pPr>
        <w:jc w:val="both"/>
      </w:pPr>
    </w:p>
    <w:p w:rsidR="005E2EF4" w:rsidRDefault="005E2EF4" w:rsidP="00467902">
      <w:pPr>
        <w:jc w:val="both"/>
      </w:pPr>
      <w:r>
        <w:t>Train Chinese employees to increase production in China</w:t>
      </w:r>
      <w:r w:rsidR="00B07BC1">
        <w:t xml:space="preserve">.  (Look at questions 4&amp;5 for reference) </w:t>
      </w:r>
      <w:r>
        <w:t xml:space="preserve"> </w:t>
      </w:r>
      <w:r w:rsidRPr="005E2EF4">
        <w:rPr>
          <w:color w:val="FF0000"/>
        </w:rPr>
        <w:t>[JH- WRITE THIS SECTION]</w:t>
      </w:r>
    </w:p>
    <w:p w:rsidR="00B627F1" w:rsidRDefault="00B627F1" w:rsidP="004F303E">
      <w:pPr>
        <w:jc w:val="both"/>
        <w:rPr>
          <w:b/>
          <w:sz w:val="28"/>
        </w:rPr>
      </w:pPr>
    </w:p>
    <w:p w:rsidR="004F303E" w:rsidRPr="00700516" w:rsidRDefault="004F303E" w:rsidP="004F303E">
      <w:pPr>
        <w:jc w:val="both"/>
        <w:rPr>
          <w:b/>
        </w:rPr>
      </w:pPr>
      <w:r>
        <w:rPr>
          <w:b/>
          <w:sz w:val="28"/>
        </w:rPr>
        <w:t>Assumptions</w:t>
      </w:r>
    </w:p>
    <w:p w:rsidR="004F303E" w:rsidRDefault="004F303E" w:rsidP="00467902">
      <w:pPr>
        <w:jc w:val="both"/>
      </w:pPr>
    </w:p>
    <w:p w:rsidR="004F303E" w:rsidRDefault="00176297" w:rsidP="00176297">
      <w:pPr>
        <w:jc w:val="both"/>
      </w:pPr>
      <w:r>
        <w:t>*</w:t>
      </w:r>
      <w:r w:rsidR="004F303E">
        <w:t>The first order placed must be at least 600 units per item in Hong Kong and 1,200 units per item in China.</w:t>
      </w:r>
      <w:r w:rsidR="00041596">
        <w:t xml:space="preserve">  The remainder of the average forecast will be made up in the second order.</w:t>
      </w:r>
    </w:p>
    <w:p w:rsidR="00176297" w:rsidRDefault="00176297" w:rsidP="00176297">
      <w:pPr>
        <w:jc w:val="both"/>
      </w:pPr>
    </w:p>
    <w:p w:rsidR="003D6090" w:rsidRDefault="00176297" w:rsidP="00176297">
      <w:pPr>
        <w:jc w:val="both"/>
      </w:pPr>
      <w:r>
        <w:t>**</w:t>
      </w:r>
      <w:r w:rsidR="003D6090">
        <w:t>It is assumed that color and size of each style of parka has been factored into each sample committee member’s forecast and is not relevant for this analysis.</w:t>
      </w:r>
    </w:p>
    <w:p w:rsidR="000D5D49" w:rsidRDefault="000D5D49" w:rsidP="00467902">
      <w:pPr>
        <w:jc w:val="both"/>
      </w:pPr>
    </w:p>
    <w:p w:rsidR="002C5C59" w:rsidRDefault="005958DB" w:rsidP="00467902">
      <w:pPr>
        <w:jc w:val="both"/>
      </w:pPr>
      <w:r>
        <w:t>***</w:t>
      </w:r>
      <w:r w:rsidR="002C5C59">
        <w:t>The average forecast includes safety stock.</w:t>
      </w:r>
    </w:p>
    <w:p w:rsidR="002C5C59" w:rsidRDefault="002C5C59" w:rsidP="00467902">
      <w:pPr>
        <w:jc w:val="both"/>
      </w:pPr>
    </w:p>
    <w:p w:rsidR="00700516" w:rsidRDefault="00700516" w:rsidP="00467902">
      <w:pPr>
        <w:jc w:val="both"/>
        <w:rPr>
          <w:b/>
          <w:sz w:val="28"/>
        </w:rPr>
      </w:pPr>
      <w:r w:rsidRPr="00700516">
        <w:rPr>
          <w:b/>
          <w:sz w:val="28"/>
        </w:rPr>
        <w:t>Implementation</w:t>
      </w:r>
      <w:r w:rsidRPr="00700516">
        <w:rPr>
          <w:sz w:val="28"/>
        </w:rPr>
        <w:t xml:space="preserve"> </w:t>
      </w:r>
      <w:r w:rsidRPr="00700516">
        <w:rPr>
          <w:b/>
          <w:sz w:val="28"/>
        </w:rPr>
        <w:t>Plan</w:t>
      </w:r>
    </w:p>
    <w:p w:rsidR="00B627F1" w:rsidRDefault="00B627F1" w:rsidP="00467902">
      <w:pPr>
        <w:jc w:val="both"/>
        <w:rPr>
          <w:b/>
          <w:sz w:val="28"/>
        </w:rPr>
      </w:pPr>
    </w:p>
    <w:p w:rsidR="00B627F1" w:rsidRPr="00B07BC1" w:rsidRDefault="00B627F1" w:rsidP="00467902">
      <w:pPr>
        <w:jc w:val="both"/>
        <w:rPr>
          <w:szCs w:val="24"/>
        </w:rPr>
      </w:pPr>
      <w:r w:rsidRPr="00B07BC1">
        <w:rPr>
          <w:szCs w:val="24"/>
        </w:rPr>
        <w:t>The first order will be placed by the beginning of November.  The second order will be placed in the beginning of March after the Las Vegas trade show.</w:t>
      </w:r>
      <w:r w:rsidR="004830E7" w:rsidRPr="00B07BC1">
        <w:rPr>
          <w:szCs w:val="24"/>
        </w:rPr>
        <w:t xml:space="preserve">  Please refer to Exhibit 4 for production quantities and sourcing decisions for the first and second order of each item. </w:t>
      </w:r>
    </w:p>
    <w:p w:rsidR="003B0F15" w:rsidRDefault="003B0F15" w:rsidP="008B5D93">
      <w:pPr>
        <w:spacing w:before="100" w:beforeAutospacing="1" w:after="100" w:afterAutospacing="1"/>
        <w:jc w:val="both"/>
        <w:rPr>
          <w:b/>
          <w:sz w:val="28"/>
        </w:rPr>
      </w:pPr>
      <w:r>
        <w:rPr>
          <w:b/>
          <w:sz w:val="28"/>
        </w:rPr>
        <w:br w:type="page"/>
      </w:r>
    </w:p>
    <w:p w:rsidR="00DF24D9" w:rsidRDefault="00DF24D9" w:rsidP="003F0D26">
      <w:pPr>
        <w:rPr>
          <w:b/>
          <w:sz w:val="28"/>
        </w:rPr>
        <w:sectPr w:rsidR="00DF24D9" w:rsidSect="005C3EFE">
          <w:pgSz w:w="12240" w:h="15840"/>
          <w:pgMar w:top="1080" w:right="1080" w:bottom="1080" w:left="1080" w:header="720" w:footer="720" w:gutter="0"/>
          <w:cols w:space="720"/>
          <w:titlePg/>
          <w:docGrid w:linePitch="360"/>
        </w:sectPr>
      </w:pPr>
    </w:p>
    <w:p w:rsidR="00700516" w:rsidRPr="00700516" w:rsidRDefault="00700516" w:rsidP="003F0D26">
      <w:pPr>
        <w:rPr>
          <w:b/>
        </w:rPr>
      </w:pPr>
      <w:r w:rsidRPr="00700516">
        <w:rPr>
          <w:b/>
          <w:sz w:val="28"/>
        </w:rPr>
        <w:lastRenderedPageBreak/>
        <w:t>Appendix</w:t>
      </w:r>
    </w:p>
    <w:p w:rsidR="00700516" w:rsidRDefault="00700516" w:rsidP="003F0D26"/>
    <w:p w:rsidR="00BF642B" w:rsidRPr="004C66BB" w:rsidRDefault="00D4280A">
      <w:pPr>
        <w:rPr>
          <w:i/>
        </w:rPr>
      </w:pPr>
      <w:r w:rsidRPr="004C66BB">
        <w:rPr>
          <w:i/>
        </w:rPr>
        <w:t>Exhibit 1</w:t>
      </w:r>
      <w:r w:rsidR="00BF642B" w:rsidRPr="004C66BB">
        <w:rPr>
          <w:i/>
        </w:rPr>
        <w:t xml:space="preserve"> </w:t>
      </w:r>
    </w:p>
    <w:p w:rsidR="00BF642B" w:rsidRDefault="00BF642B"/>
    <w:p w:rsidR="00DF24D9" w:rsidRDefault="00DF24D9" w:rsidP="003F0D26">
      <w:r w:rsidRPr="00DF24D9">
        <w:rPr>
          <w:noProof/>
        </w:rPr>
        <w:drawing>
          <wp:inline distT="0" distB="0" distL="0" distR="0">
            <wp:extent cx="8168418" cy="2802576"/>
            <wp:effectExtent l="19050" t="0" r="403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168418" cy="2802576"/>
                    </a:xfrm>
                    <a:prstGeom prst="rect">
                      <a:avLst/>
                    </a:prstGeom>
                    <a:noFill/>
                    <a:ln w="9525">
                      <a:noFill/>
                      <a:miter lim="800000"/>
                      <a:headEnd/>
                      <a:tailEnd/>
                    </a:ln>
                  </pic:spPr>
                </pic:pic>
              </a:graphicData>
            </a:graphic>
          </wp:inline>
        </w:drawing>
      </w:r>
    </w:p>
    <w:p w:rsidR="009B0F78" w:rsidRDefault="009B0F78" w:rsidP="003F0D26"/>
    <w:p w:rsidR="009B0F78" w:rsidRDefault="009B0F78" w:rsidP="003F0D26"/>
    <w:p w:rsidR="009B0F78" w:rsidRDefault="009B0F78" w:rsidP="003F0D26">
      <w:pPr>
        <w:sectPr w:rsidR="009B0F78" w:rsidSect="00DF24D9">
          <w:pgSz w:w="15840" w:h="12240" w:orient="landscape"/>
          <w:pgMar w:top="1080" w:right="1080" w:bottom="1080" w:left="1080" w:header="720" w:footer="720" w:gutter="0"/>
          <w:cols w:space="720"/>
          <w:titlePg/>
          <w:docGrid w:linePitch="360"/>
        </w:sectPr>
      </w:pPr>
      <w:r>
        <w:t>** See Assumptions.</w:t>
      </w:r>
    </w:p>
    <w:p w:rsidR="00700516" w:rsidRPr="004C66BB" w:rsidRDefault="006C3278" w:rsidP="003F0D26">
      <w:pPr>
        <w:rPr>
          <w:i/>
        </w:rPr>
      </w:pPr>
      <w:r w:rsidRPr="004C66BB">
        <w:rPr>
          <w:i/>
        </w:rPr>
        <w:lastRenderedPageBreak/>
        <w:t>Exhibit 2</w:t>
      </w:r>
    </w:p>
    <w:p w:rsidR="00536DC3" w:rsidRDefault="00536DC3" w:rsidP="003F0D26"/>
    <w:p w:rsidR="00BF642B" w:rsidRDefault="0080419F" w:rsidP="0080419F">
      <w:pPr>
        <w:jc w:val="center"/>
      </w:pPr>
      <w:r w:rsidRPr="0080419F">
        <w:rPr>
          <w:noProof/>
        </w:rPr>
        <w:drawing>
          <wp:inline distT="0" distB="0" distL="0" distR="0">
            <wp:extent cx="6400800" cy="2979286"/>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400800" cy="2979286"/>
                    </a:xfrm>
                    <a:prstGeom prst="rect">
                      <a:avLst/>
                    </a:prstGeom>
                    <a:noFill/>
                    <a:ln w="9525">
                      <a:noFill/>
                      <a:miter lim="800000"/>
                      <a:headEnd/>
                      <a:tailEnd/>
                    </a:ln>
                  </pic:spPr>
                </pic:pic>
              </a:graphicData>
            </a:graphic>
          </wp:inline>
        </w:drawing>
      </w:r>
    </w:p>
    <w:p w:rsidR="00FF7515" w:rsidRDefault="00FF7515" w:rsidP="003F0D26">
      <w:pPr>
        <w:rPr>
          <w:i/>
        </w:rPr>
      </w:pPr>
    </w:p>
    <w:p w:rsidR="00FF7515" w:rsidRDefault="00FF7515">
      <w:pPr>
        <w:rPr>
          <w:i/>
        </w:rPr>
      </w:pPr>
      <w:r>
        <w:rPr>
          <w:i/>
        </w:rPr>
        <w:br w:type="page"/>
      </w:r>
    </w:p>
    <w:p w:rsidR="000D1126" w:rsidRPr="004C66BB" w:rsidRDefault="000D1126" w:rsidP="003F0D26">
      <w:pPr>
        <w:rPr>
          <w:i/>
        </w:rPr>
      </w:pPr>
      <w:r w:rsidRPr="004C66BB">
        <w:rPr>
          <w:i/>
        </w:rPr>
        <w:lastRenderedPageBreak/>
        <w:t>Exhibit 3</w:t>
      </w:r>
    </w:p>
    <w:p w:rsidR="000D1126" w:rsidRDefault="000D1126" w:rsidP="003F0D26"/>
    <w:p w:rsidR="005A1A36" w:rsidRDefault="00795B5F">
      <w:pPr>
        <w:rPr>
          <w:b/>
          <w:sz w:val="28"/>
        </w:rPr>
      </w:pPr>
      <w:r w:rsidRPr="00795B5F">
        <w:rPr>
          <w:noProof/>
        </w:rPr>
        <w:drawing>
          <wp:inline distT="0" distB="0" distL="0" distR="0">
            <wp:extent cx="6400800" cy="3064691"/>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400800" cy="3064691"/>
                    </a:xfrm>
                    <a:prstGeom prst="rect">
                      <a:avLst/>
                    </a:prstGeom>
                    <a:noFill/>
                    <a:ln w="9525">
                      <a:noFill/>
                      <a:miter lim="800000"/>
                      <a:headEnd/>
                      <a:tailEnd/>
                    </a:ln>
                  </pic:spPr>
                </pic:pic>
              </a:graphicData>
            </a:graphic>
          </wp:inline>
        </w:drawing>
      </w:r>
      <w:r w:rsidR="005A1A36">
        <w:rPr>
          <w:b/>
          <w:sz w:val="28"/>
        </w:rPr>
        <w:br w:type="page"/>
      </w:r>
    </w:p>
    <w:p w:rsidR="003A1AA3" w:rsidRPr="003A1AA3" w:rsidRDefault="003A1AA3">
      <w:pPr>
        <w:rPr>
          <w:i/>
          <w:sz w:val="28"/>
        </w:rPr>
      </w:pPr>
      <w:r w:rsidRPr="003A1AA3">
        <w:rPr>
          <w:i/>
          <w:sz w:val="28"/>
        </w:rPr>
        <w:lastRenderedPageBreak/>
        <w:t>Exhibit 4</w:t>
      </w:r>
    </w:p>
    <w:p w:rsidR="003A1AA3" w:rsidRDefault="003A1AA3">
      <w:pPr>
        <w:rPr>
          <w:b/>
          <w:sz w:val="28"/>
        </w:rPr>
      </w:pPr>
    </w:p>
    <w:p w:rsidR="003A1AA3" w:rsidRDefault="00474817" w:rsidP="00ED3679">
      <w:pPr>
        <w:jc w:val="center"/>
        <w:rPr>
          <w:b/>
        </w:rPr>
      </w:pPr>
      <w:r w:rsidRPr="00474817">
        <w:rPr>
          <w:noProof/>
        </w:rPr>
        <w:drawing>
          <wp:inline distT="0" distB="0" distL="0" distR="0">
            <wp:extent cx="5593080" cy="2933065"/>
            <wp:effectExtent l="19050" t="0" r="762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593080" cy="2933065"/>
                    </a:xfrm>
                    <a:prstGeom prst="rect">
                      <a:avLst/>
                    </a:prstGeom>
                    <a:noFill/>
                    <a:ln w="9525">
                      <a:noFill/>
                      <a:miter lim="800000"/>
                      <a:headEnd/>
                      <a:tailEnd/>
                    </a:ln>
                  </pic:spPr>
                </pic:pic>
              </a:graphicData>
            </a:graphic>
          </wp:inline>
        </w:drawing>
      </w:r>
    </w:p>
    <w:p w:rsidR="000D1126" w:rsidRDefault="000D1126">
      <w:pPr>
        <w:rPr>
          <w:b/>
          <w:sz w:val="28"/>
        </w:rPr>
      </w:pPr>
    </w:p>
    <w:p w:rsidR="00474817" w:rsidRDefault="00474817">
      <w:pPr>
        <w:rPr>
          <w:b/>
          <w:sz w:val="28"/>
        </w:rPr>
      </w:pPr>
      <w:r>
        <w:rPr>
          <w:b/>
          <w:sz w:val="28"/>
        </w:rPr>
        <w:br w:type="page"/>
      </w:r>
    </w:p>
    <w:p w:rsidR="00ED3679" w:rsidRDefault="00ED3679">
      <w:pPr>
        <w:rPr>
          <w:i/>
          <w:sz w:val="28"/>
        </w:rPr>
      </w:pPr>
      <w:r w:rsidRPr="00ED3679">
        <w:rPr>
          <w:i/>
          <w:sz w:val="28"/>
        </w:rPr>
        <w:lastRenderedPageBreak/>
        <w:t>Exhibit 5</w:t>
      </w:r>
    </w:p>
    <w:p w:rsidR="00ED3679" w:rsidRDefault="00ED3679">
      <w:pPr>
        <w:rPr>
          <w:i/>
          <w:sz w:val="28"/>
        </w:rPr>
      </w:pPr>
    </w:p>
    <w:p w:rsidR="00931B69" w:rsidRDefault="00ED3679">
      <w:pPr>
        <w:rPr>
          <w:i/>
          <w:sz w:val="28"/>
        </w:rPr>
      </w:pPr>
      <w:r w:rsidRPr="00ED3679">
        <w:drawing>
          <wp:inline distT="0" distB="0" distL="0" distR="0">
            <wp:extent cx="4738370" cy="296862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38370" cy="2968625"/>
                    </a:xfrm>
                    <a:prstGeom prst="rect">
                      <a:avLst/>
                    </a:prstGeom>
                    <a:noFill/>
                    <a:ln w="9525">
                      <a:noFill/>
                      <a:miter lim="800000"/>
                      <a:headEnd/>
                      <a:tailEnd/>
                    </a:ln>
                  </pic:spPr>
                </pic:pic>
              </a:graphicData>
            </a:graphic>
          </wp:inline>
        </w:drawing>
      </w:r>
    </w:p>
    <w:p w:rsidR="00931B69" w:rsidRDefault="00931B69">
      <w:pPr>
        <w:rPr>
          <w:i/>
          <w:sz w:val="28"/>
        </w:rPr>
      </w:pPr>
    </w:p>
    <w:p w:rsidR="00700516" w:rsidRPr="00B07BC1" w:rsidRDefault="00931B69" w:rsidP="003F0D26">
      <w:pPr>
        <w:rPr>
          <w:i/>
          <w:sz w:val="28"/>
        </w:rPr>
      </w:pPr>
      <w:r w:rsidRPr="00931B69">
        <w:drawing>
          <wp:inline distT="0" distB="0" distL="0" distR="0">
            <wp:extent cx="4797425" cy="1306195"/>
            <wp:effectExtent l="1905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97425" cy="1306195"/>
                    </a:xfrm>
                    <a:prstGeom prst="rect">
                      <a:avLst/>
                    </a:prstGeom>
                    <a:noFill/>
                    <a:ln w="9525">
                      <a:noFill/>
                      <a:miter lim="800000"/>
                      <a:headEnd/>
                      <a:tailEnd/>
                    </a:ln>
                  </pic:spPr>
                </pic:pic>
              </a:graphicData>
            </a:graphic>
          </wp:inline>
        </w:drawing>
      </w:r>
    </w:p>
    <w:p w:rsidR="00D73240" w:rsidRDefault="00D73240" w:rsidP="00AA5DB5">
      <w:pPr>
        <w:ind w:left="720" w:hanging="720"/>
      </w:pPr>
    </w:p>
    <w:p w:rsidR="00FF7515" w:rsidRDefault="00FF7515" w:rsidP="00AA5DB5">
      <w:pPr>
        <w:ind w:left="720" w:hanging="720"/>
      </w:pPr>
    </w:p>
    <w:sectPr w:rsidR="00FF7515" w:rsidSect="005C3EFE">
      <w:pgSz w:w="12240" w:h="15840"/>
      <w:pgMar w:top="1080" w:right="1080" w:bottom="108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022"/>
    <w:multiLevelType w:val="hybridMultilevel"/>
    <w:tmpl w:val="56822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A70B3B"/>
    <w:multiLevelType w:val="hybridMultilevel"/>
    <w:tmpl w:val="ED98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12B7B"/>
    <w:multiLevelType w:val="hybridMultilevel"/>
    <w:tmpl w:val="E76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91B74"/>
    <w:multiLevelType w:val="hybridMultilevel"/>
    <w:tmpl w:val="AF1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60EA7"/>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C4F32"/>
    <w:multiLevelType w:val="hybridMultilevel"/>
    <w:tmpl w:val="D13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C2080"/>
    <w:multiLevelType w:val="hybridMultilevel"/>
    <w:tmpl w:val="200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B2E0D"/>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216A5C"/>
    <w:multiLevelType w:val="hybridMultilevel"/>
    <w:tmpl w:val="3626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57E40"/>
    <w:multiLevelType w:val="hybridMultilevel"/>
    <w:tmpl w:val="5E0C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81336"/>
    <w:multiLevelType w:val="hybridMultilevel"/>
    <w:tmpl w:val="640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21D61"/>
    <w:multiLevelType w:val="hybridMultilevel"/>
    <w:tmpl w:val="AF1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24FD4"/>
    <w:multiLevelType w:val="hybridMultilevel"/>
    <w:tmpl w:val="89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87C14"/>
    <w:multiLevelType w:val="hybridMultilevel"/>
    <w:tmpl w:val="BA32C0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12"/>
  </w:num>
  <w:num w:numId="6">
    <w:abstractNumId w:val="2"/>
  </w:num>
  <w:num w:numId="7">
    <w:abstractNumId w:val="0"/>
  </w:num>
  <w:num w:numId="8">
    <w:abstractNumId w:val="1"/>
  </w:num>
  <w:num w:numId="9">
    <w:abstractNumId w:val="11"/>
  </w:num>
  <w:num w:numId="10">
    <w:abstractNumId w:val="13"/>
  </w:num>
  <w:num w:numId="11">
    <w:abstractNumId w:val="3"/>
  </w:num>
  <w:num w:numId="12">
    <w:abstractNumId w:val="5"/>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3C0B43"/>
    <w:rsid w:val="0000004D"/>
    <w:rsid w:val="000025B3"/>
    <w:rsid w:val="000044B4"/>
    <w:rsid w:val="00017A2B"/>
    <w:rsid w:val="00021D92"/>
    <w:rsid w:val="00026283"/>
    <w:rsid w:val="00034112"/>
    <w:rsid w:val="00041596"/>
    <w:rsid w:val="00055B81"/>
    <w:rsid w:val="00067AA0"/>
    <w:rsid w:val="00071835"/>
    <w:rsid w:val="000A1256"/>
    <w:rsid w:val="000A53E0"/>
    <w:rsid w:val="000C0A06"/>
    <w:rsid w:val="000C77BD"/>
    <w:rsid w:val="000D1126"/>
    <w:rsid w:val="000D5D49"/>
    <w:rsid w:val="000E7196"/>
    <w:rsid w:val="00103DAE"/>
    <w:rsid w:val="001127C2"/>
    <w:rsid w:val="0012044F"/>
    <w:rsid w:val="001655AE"/>
    <w:rsid w:val="00165E00"/>
    <w:rsid w:val="001677F0"/>
    <w:rsid w:val="00171755"/>
    <w:rsid w:val="0017424D"/>
    <w:rsid w:val="00176297"/>
    <w:rsid w:val="001834CE"/>
    <w:rsid w:val="0019176F"/>
    <w:rsid w:val="001A05CB"/>
    <w:rsid w:val="001B564E"/>
    <w:rsid w:val="001D17F8"/>
    <w:rsid w:val="001E30F2"/>
    <w:rsid w:val="001E5DBC"/>
    <w:rsid w:val="001F2C4F"/>
    <w:rsid w:val="00206032"/>
    <w:rsid w:val="00211F93"/>
    <w:rsid w:val="0021404E"/>
    <w:rsid w:val="00214979"/>
    <w:rsid w:val="0022482D"/>
    <w:rsid w:val="00226A4F"/>
    <w:rsid w:val="00235739"/>
    <w:rsid w:val="0023725F"/>
    <w:rsid w:val="0024018A"/>
    <w:rsid w:val="002504A4"/>
    <w:rsid w:val="0025685D"/>
    <w:rsid w:val="00266DD3"/>
    <w:rsid w:val="002676AE"/>
    <w:rsid w:val="002822AE"/>
    <w:rsid w:val="00283F75"/>
    <w:rsid w:val="00285463"/>
    <w:rsid w:val="00286A74"/>
    <w:rsid w:val="002A5BC4"/>
    <w:rsid w:val="002C5C59"/>
    <w:rsid w:val="002D601D"/>
    <w:rsid w:val="002E5FA0"/>
    <w:rsid w:val="002F48A6"/>
    <w:rsid w:val="00301F09"/>
    <w:rsid w:val="00304318"/>
    <w:rsid w:val="003402F6"/>
    <w:rsid w:val="00344435"/>
    <w:rsid w:val="00350F2A"/>
    <w:rsid w:val="003724A0"/>
    <w:rsid w:val="003725CA"/>
    <w:rsid w:val="00390ABB"/>
    <w:rsid w:val="00393531"/>
    <w:rsid w:val="00393E1B"/>
    <w:rsid w:val="003A1AA3"/>
    <w:rsid w:val="003A610B"/>
    <w:rsid w:val="003B0F15"/>
    <w:rsid w:val="003C0B43"/>
    <w:rsid w:val="003C0E4E"/>
    <w:rsid w:val="003C2181"/>
    <w:rsid w:val="003C5519"/>
    <w:rsid w:val="003C6E93"/>
    <w:rsid w:val="003D6090"/>
    <w:rsid w:val="003F0D26"/>
    <w:rsid w:val="003F3796"/>
    <w:rsid w:val="00416BA8"/>
    <w:rsid w:val="004463F7"/>
    <w:rsid w:val="00451AA3"/>
    <w:rsid w:val="00457E5F"/>
    <w:rsid w:val="00461407"/>
    <w:rsid w:val="00467902"/>
    <w:rsid w:val="00474077"/>
    <w:rsid w:val="00474817"/>
    <w:rsid w:val="004830E7"/>
    <w:rsid w:val="004C66BB"/>
    <w:rsid w:val="004D4A32"/>
    <w:rsid w:val="004E60BF"/>
    <w:rsid w:val="004F303E"/>
    <w:rsid w:val="00521DFE"/>
    <w:rsid w:val="005246BC"/>
    <w:rsid w:val="00536DC3"/>
    <w:rsid w:val="00542C20"/>
    <w:rsid w:val="00543790"/>
    <w:rsid w:val="00557B72"/>
    <w:rsid w:val="0057691C"/>
    <w:rsid w:val="0059017C"/>
    <w:rsid w:val="005901F8"/>
    <w:rsid w:val="005958DB"/>
    <w:rsid w:val="005A1A36"/>
    <w:rsid w:val="005B7890"/>
    <w:rsid w:val="005C3EFE"/>
    <w:rsid w:val="005E2EF4"/>
    <w:rsid w:val="005E4604"/>
    <w:rsid w:val="005F1D65"/>
    <w:rsid w:val="005F63DF"/>
    <w:rsid w:val="0060735C"/>
    <w:rsid w:val="00613CDB"/>
    <w:rsid w:val="00614783"/>
    <w:rsid w:val="006770C2"/>
    <w:rsid w:val="006841C1"/>
    <w:rsid w:val="006A7469"/>
    <w:rsid w:val="006B1E60"/>
    <w:rsid w:val="006B2A97"/>
    <w:rsid w:val="006C3278"/>
    <w:rsid w:val="006D65C3"/>
    <w:rsid w:val="006E6B75"/>
    <w:rsid w:val="00700516"/>
    <w:rsid w:val="00701922"/>
    <w:rsid w:val="00706881"/>
    <w:rsid w:val="00716B68"/>
    <w:rsid w:val="00717E92"/>
    <w:rsid w:val="0074013F"/>
    <w:rsid w:val="007543D0"/>
    <w:rsid w:val="007717BF"/>
    <w:rsid w:val="00771CBA"/>
    <w:rsid w:val="0079243E"/>
    <w:rsid w:val="00795B5F"/>
    <w:rsid w:val="007B263D"/>
    <w:rsid w:val="007D0F4E"/>
    <w:rsid w:val="007D4832"/>
    <w:rsid w:val="007E6E9C"/>
    <w:rsid w:val="007F55B3"/>
    <w:rsid w:val="00803407"/>
    <w:rsid w:val="0080419F"/>
    <w:rsid w:val="008051B8"/>
    <w:rsid w:val="00807895"/>
    <w:rsid w:val="008168F5"/>
    <w:rsid w:val="00841254"/>
    <w:rsid w:val="00860ED5"/>
    <w:rsid w:val="00885A3B"/>
    <w:rsid w:val="00885AF1"/>
    <w:rsid w:val="00891D68"/>
    <w:rsid w:val="008A09B3"/>
    <w:rsid w:val="008B5161"/>
    <w:rsid w:val="008B5D93"/>
    <w:rsid w:val="008E6E03"/>
    <w:rsid w:val="008F2E5F"/>
    <w:rsid w:val="0092779E"/>
    <w:rsid w:val="00927A40"/>
    <w:rsid w:val="00931B69"/>
    <w:rsid w:val="00933F8A"/>
    <w:rsid w:val="00934934"/>
    <w:rsid w:val="009517BF"/>
    <w:rsid w:val="009524E1"/>
    <w:rsid w:val="0095517F"/>
    <w:rsid w:val="00960A81"/>
    <w:rsid w:val="00970991"/>
    <w:rsid w:val="00985D70"/>
    <w:rsid w:val="0099264E"/>
    <w:rsid w:val="009926FE"/>
    <w:rsid w:val="009A0489"/>
    <w:rsid w:val="009B0F78"/>
    <w:rsid w:val="009B1DB2"/>
    <w:rsid w:val="009B3BAC"/>
    <w:rsid w:val="009C6C54"/>
    <w:rsid w:val="009D1181"/>
    <w:rsid w:val="009E55E9"/>
    <w:rsid w:val="00A024A6"/>
    <w:rsid w:val="00A06AD0"/>
    <w:rsid w:val="00A14506"/>
    <w:rsid w:val="00A20804"/>
    <w:rsid w:val="00A20D11"/>
    <w:rsid w:val="00A228F3"/>
    <w:rsid w:val="00A26942"/>
    <w:rsid w:val="00A31CD5"/>
    <w:rsid w:val="00A35CE0"/>
    <w:rsid w:val="00A35DC3"/>
    <w:rsid w:val="00A80818"/>
    <w:rsid w:val="00A86F92"/>
    <w:rsid w:val="00A90A0F"/>
    <w:rsid w:val="00AA0DBB"/>
    <w:rsid w:val="00AA1D9D"/>
    <w:rsid w:val="00AA297E"/>
    <w:rsid w:val="00AA5DB5"/>
    <w:rsid w:val="00AD0AA0"/>
    <w:rsid w:val="00AE0FE9"/>
    <w:rsid w:val="00AE6811"/>
    <w:rsid w:val="00B0683D"/>
    <w:rsid w:val="00B0686D"/>
    <w:rsid w:val="00B07BC1"/>
    <w:rsid w:val="00B217B0"/>
    <w:rsid w:val="00B23421"/>
    <w:rsid w:val="00B264B1"/>
    <w:rsid w:val="00B3102B"/>
    <w:rsid w:val="00B33BE0"/>
    <w:rsid w:val="00B41530"/>
    <w:rsid w:val="00B44345"/>
    <w:rsid w:val="00B46694"/>
    <w:rsid w:val="00B627F1"/>
    <w:rsid w:val="00B849F8"/>
    <w:rsid w:val="00B91449"/>
    <w:rsid w:val="00B96C58"/>
    <w:rsid w:val="00B97BD3"/>
    <w:rsid w:val="00BA0CEA"/>
    <w:rsid w:val="00BA2499"/>
    <w:rsid w:val="00BA643F"/>
    <w:rsid w:val="00BB2811"/>
    <w:rsid w:val="00BD5275"/>
    <w:rsid w:val="00BD6768"/>
    <w:rsid w:val="00BE3DAF"/>
    <w:rsid w:val="00BF642B"/>
    <w:rsid w:val="00C35EEF"/>
    <w:rsid w:val="00C45A84"/>
    <w:rsid w:val="00C63B9B"/>
    <w:rsid w:val="00C75E77"/>
    <w:rsid w:val="00C77D66"/>
    <w:rsid w:val="00C86AEC"/>
    <w:rsid w:val="00C952A7"/>
    <w:rsid w:val="00CA63A1"/>
    <w:rsid w:val="00CB6303"/>
    <w:rsid w:val="00CC5833"/>
    <w:rsid w:val="00CF0B22"/>
    <w:rsid w:val="00CF1443"/>
    <w:rsid w:val="00CF3F61"/>
    <w:rsid w:val="00D01827"/>
    <w:rsid w:val="00D1480A"/>
    <w:rsid w:val="00D23BB2"/>
    <w:rsid w:val="00D26B1B"/>
    <w:rsid w:val="00D4280A"/>
    <w:rsid w:val="00D57A87"/>
    <w:rsid w:val="00D62BBD"/>
    <w:rsid w:val="00D66B84"/>
    <w:rsid w:val="00D72456"/>
    <w:rsid w:val="00D73240"/>
    <w:rsid w:val="00D76571"/>
    <w:rsid w:val="00DA13A8"/>
    <w:rsid w:val="00DB6588"/>
    <w:rsid w:val="00DC6D92"/>
    <w:rsid w:val="00DD4632"/>
    <w:rsid w:val="00DD5FAB"/>
    <w:rsid w:val="00DF00D3"/>
    <w:rsid w:val="00DF24D9"/>
    <w:rsid w:val="00DF4174"/>
    <w:rsid w:val="00E020E8"/>
    <w:rsid w:val="00E02EFF"/>
    <w:rsid w:val="00E116B0"/>
    <w:rsid w:val="00E13896"/>
    <w:rsid w:val="00E16FBC"/>
    <w:rsid w:val="00E249D6"/>
    <w:rsid w:val="00E25D86"/>
    <w:rsid w:val="00E50AF2"/>
    <w:rsid w:val="00E50AF5"/>
    <w:rsid w:val="00E61F5A"/>
    <w:rsid w:val="00E63342"/>
    <w:rsid w:val="00E74F02"/>
    <w:rsid w:val="00E81434"/>
    <w:rsid w:val="00E84727"/>
    <w:rsid w:val="00E97636"/>
    <w:rsid w:val="00EA05A9"/>
    <w:rsid w:val="00EB2DB6"/>
    <w:rsid w:val="00EB66C8"/>
    <w:rsid w:val="00ED3679"/>
    <w:rsid w:val="00ED7532"/>
    <w:rsid w:val="00EF0C8B"/>
    <w:rsid w:val="00F16767"/>
    <w:rsid w:val="00F372B3"/>
    <w:rsid w:val="00F4314B"/>
    <w:rsid w:val="00F52BBB"/>
    <w:rsid w:val="00F94776"/>
    <w:rsid w:val="00FA65D0"/>
    <w:rsid w:val="00FB09C8"/>
    <w:rsid w:val="00FB1180"/>
    <w:rsid w:val="00FC3D55"/>
    <w:rsid w:val="00FD02D0"/>
    <w:rsid w:val="00FE452F"/>
    <w:rsid w:val="00FF41A6"/>
    <w:rsid w:val="00FF7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webSettings.xml><?xml version="1.0" encoding="utf-8"?>
<w:webSettings xmlns:r="http://schemas.openxmlformats.org/officeDocument/2006/relationships" xmlns:w="http://schemas.openxmlformats.org/wordprocessingml/2006/main">
  <w:divs>
    <w:div w:id="75370078">
      <w:bodyDiv w:val="1"/>
      <w:marLeft w:val="0"/>
      <w:marRight w:val="0"/>
      <w:marTop w:val="0"/>
      <w:marBottom w:val="0"/>
      <w:divBdr>
        <w:top w:val="none" w:sz="0" w:space="0" w:color="auto"/>
        <w:left w:val="none" w:sz="0" w:space="0" w:color="auto"/>
        <w:bottom w:val="none" w:sz="0" w:space="0" w:color="auto"/>
        <w:right w:val="none" w:sz="0" w:space="0" w:color="auto"/>
      </w:divBdr>
    </w:div>
    <w:div w:id="167598140">
      <w:bodyDiv w:val="1"/>
      <w:marLeft w:val="0"/>
      <w:marRight w:val="0"/>
      <w:marTop w:val="0"/>
      <w:marBottom w:val="0"/>
      <w:divBdr>
        <w:top w:val="none" w:sz="0" w:space="0" w:color="auto"/>
        <w:left w:val="none" w:sz="0" w:space="0" w:color="auto"/>
        <w:bottom w:val="none" w:sz="0" w:space="0" w:color="auto"/>
        <w:right w:val="none" w:sz="0" w:space="0" w:color="auto"/>
      </w:divBdr>
    </w:div>
    <w:div w:id="174195388">
      <w:bodyDiv w:val="1"/>
      <w:marLeft w:val="0"/>
      <w:marRight w:val="0"/>
      <w:marTop w:val="0"/>
      <w:marBottom w:val="0"/>
      <w:divBdr>
        <w:top w:val="none" w:sz="0" w:space="0" w:color="auto"/>
        <w:left w:val="none" w:sz="0" w:space="0" w:color="auto"/>
        <w:bottom w:val="none" w:sz="0" w:space="0" w:color="auto"/>
        <w:right w:val="none" w:sz="0" w:space="0" w:color="auto"/>
      </w:divBdr>
    </w:div>
    <w:div w:id="174928281">
      <w:bodyDiv w:val="1"/>
      <w:marLeft w:val="0"/>
      <w:marRight w:val="0"/>
      <w:marTop w:val="0"/>
      <w:marBottom w:val="0"/>
      <w:divBdr>
        <w:top w:val="none" w:sz="0" w:space="0" w:color="auto"/>
        <w:left w:val="none" w:sz="0" w:space="0" w:color="auto"/>
        <w:bottom w:val="none" w:sz="0" w:space="0" w:color="auto"/>
        <w:right w:val="none" w:sz="0" w:space="0" w:color="auto"/>
      </w:divBdr>
    </w:div>
    <w:div w:id="176385663">
      <w:bodyDiv w:val="1"/>
      <w:marLeft w:val="0"/>
      <w:marRight w:val="0"/>
      <w:marTop w:val="0"/>
      <w:marBottom w:val="0"/>
      <w:divBdr>
        <w:top w:val="none" w:sz="0" w:space="0" w:color="auto"/>
        <w:left w:val="none" w:sz="0" w:space="0" w:color="auto"/>
        <w:bottom w:val="none" w:sz="0" w:space="0" w:color="auto"/>
        <w:right w:val="none" w:sz="0" w:space="0" w:color="auto"/>
      </w:divBdr>
    </w:div>
    <w:div w:id="293214760">
      <w:bodyDiv w:val="1"/>
      <w:marLeft w:val="0"/>
      <w:marRight w:val="0"/>
      <w:marTop w:val="0"/>
      <w:marBottom w:val="0"/>
      <w:divBdr>
        <w:top w:val="none" w:sz="0" w:space="0" w:color="auto"/>
        <w:left w:val="none" w:sz="0" w:space="0" w:color="auto"/>
        <w:bottom w:val="none" w:sz="0" w:space="0" w:color="auto"/>
        <w:right w:val="none" w:sz="0" w:space="0" w:color="auto"/>
      </w:divBdr>
    </w:div>
    <w:div w:id="328675323">
      <w:bodyDiv w:val="1"/>
      <w:marLeft w:val="0"/>
      <w:marRight w:val="0"/>
      <w:marTop w:val="0"/>
      <w:marBottom w:val="0"/>
      <w:divBdr>
        <w:top w:val="none" w:sz="0" w:space="0" w:color="auto"/>
        <w:left w:val="none" w:sz="0" w:space="0" w:color="auto"/>
        <w:bottom w:val="none" w:sz="0" w:space="0" w:color="auto"/>
        <w:right w:val="none" w:sz="0" w:space="0" w:color="auto"/>
      </w:divBdr>
    </w:div>
    <w:div w:id="372577131">
      <w:bodyDiv w:val="1"/>
      <w:marLeft w:val="0"/>
      <w:marRight w:val="0"/>
      <w:marTop w:val="0"/>
      <w:marBottom w:val="0"/>
      <w:divBdr>
        <w:top w:val="none" w:sz="0" w:space="0" w:color="auto"/>
        <w:left w:val="none" w:sz="0" w:space="0" w:color="auto"/>
        <w:bottom w:val="none" w:sz="0" w:space="0" w:color="auto"/>
        <w:right w:val="none" w:sz="0" w:space="0" w:color="auto"/>
      </w:divBdr>
    </w:div>
    <w:div w:id="408381817">
      <w:bodyDiv w:val="1"/>
      <w:marLeft w:val="0"/>
      <w:marRight w:val="0"/>
      <w:marTop w:val="0"/>
      <w:marBottom w:val="0"/>
      <w:divBdr>
        <w:top w:val="none" w:sz="0" w:space="0" w:color="auto"/>
        <w:left w:val="none" w:sz="0" w:space="0" w:color="auto"/>
        <w:bottom w:val="none" w:sz="0" w:space="0" w:color="auto"/>
        <w:right w:val="none" w:sz="0" w:space="0" w:color="auto"/>
      </w:divBdr>
    </w:div>
    <w:div w:id="667287771">
      <w:bodyDiv w:val="1"/>
      <w:marLeft w:val="0"/>
      <w:marRight w:val="0"/>
      <w:marTop w:val="0"/>
      <w:marBottom w:val="0"/>
      <w:divBdr>
        <w:top w:val="none" w:sz="0" w:space="0" w:color="auto"/>
        <w:left w:val="none" w:sz="0" w:space="0" w:color="auto"/>
        <w:bottom w:val="none" w:sz="0" w:space="0" w:color="auto"/>
        <w:right w:val="none" w:sz="0" w:space="0" w:color="auto"/>
      </w:divBdr>
    </w:div>
    <w:div w:id="671882785">
      <w:bodyDiv w:val="1"/>
      <w:marLeft w:val="0"/>
      <w:marRight w:val="0"/>
      <w:marTop w:val="0"/>
      <w:marBottom w:val="0"/>
      <w:divBdr>
        <w:top w:val="none" w:sz="0" w:space="0" w:color="auto"/>
        <w:left w:val="none" w:sz="0" w:space="0" w:color="auto"/>
        <w:bottom w:val="none" w:sz="0" w:space="0" w:color="auto"/>
        <w:right w:val="none" w:sz="0" w:space="0" w:color="auto"/>
      </w:divBdr>
    </w:div>
    <w:div w:id="693503906">
      <w:bodyDiv w:val="1"/>
      <w:marLeft w:val="0"/>
      <w:marRight w:val="0"/>
      <w:marTop w:val="0"/>
      <w:marBottom w:val="0"/>
      <w:divBdr>
        <w:top w:val="none" w:sz="0" w:space="0" w:color="auto"/>
        <w:left w:val="none" w:sz="0" w:space="0" w:color="auto"/>
        <w:bottom w:val="none" w:sz="0" w:space="0" w:color="auto"/>
        <w:right w:val="none" w:sz="0" w:space="0" w:color="auto"/>
      </w:divBdr>
    </w:div>
    <w:div w:id="817190804">
      <w:bodyDiv w:val="1"/>
      <w:marLeft w:val="0"/>
      <w:marRight w:val="0"/>
      <w:marTop w:val="0"/>
      <w:marBottom w:val="0"/>
      <w:divBdr>
        <w:top w:val="none" w:sz="0" w:space="0" w:color="auto"/>
        <w:left w:val="none" w:sz="0" w:space="0" w:color="auto"/>
        <w:bottom w:val="none" w:sz="0" w:space="0" w:color="auto"/>
        <w:right w:val="none" w:sz="0" w:space="0" w:color="auto"/>
      </w:divBdr>
    </w:div>
    <w:div w:id="913054671">
      <w:bodyDiv w:val="1"/>
      <w:marLeft w:val="0"/>
      <w:marRight w:val="0"/>
      <w:marTop w:val="0"/>
      <w:marBottom w:val="0"/>
      <w:divBdr>
        <w:top w:val="none" w:sz="0" w:space="0" w:color="auto"/>
        <w:left w:val="none" w:sz="0" w:space="0" w:color="auto"/>
        <w:bottom w:val="none" w:sz="0" w:space="0" w:color="auto"/>
        <w:right w:val="none" w:sz="0" w:space="0" w:color="auto"/>
      </w:divBdr>
    </w:div>
    <w:div w:id="1011296994">
      <w:bodyDiv w:val="1"/>
      <w:marLeft w:val="0"/>
      <w:marRight w:val="0"/>
      <w:marTop w:val="0"/>
      <w:marBottom w:val="0"/>
      <w:divBdr>
        <w:top w:val="none" w:sz="0" w:space="0" w:color="auto"/>
        <w:left w:val="none" w:sz="0" w:space="0" w:color="auto"/>
        <w:bottom w:val="none" w:sz="0" w:space="0" w:color="auto"/>
        <w:right w:val="none" w:sz="0" w:space="0" w:color="auto"/>
      </w:divBdr>
    </w:div>
    <w:div w:id="1028676925">
      <w:bodyDiv w:val="1"/>
      <w:marLeft w:val="0"/>
      <w:marRight w:val="0"/>
      <w:marTop w:val="0"/>
      <w:marBottom w:val="0"/>
      <w:divBdr>
        <w:top w:val="none" w:sz="0" w:space="0" w:color="auto"/>
        <w:left w:val="none" w:sz="0" w:space="0" w:color="auto"/>
        <w:bottom w:val="none" w:sz="0" w:space="0" w:color="auto"/>
        <w:right w:val="none" w:sz="0" w:space="0" w:color="auto"/>
      </w:divBdr>
    </w:div>
    <w:div w:id="1038894750">
      <w:bodyDiv w:val="1"/>
      <w:marLeft w:val="0"/>
      <w:marRight w:val="0"/>
      <w:marTop w:val="0"/>
      <w:marBottom w:val="0"/>
      <w:divBdr>
        <w:top w:val="none" w:sz="0" w:space="0" w:color="auto"/>
        <w:left w:val="none" w:sz="0" w:space="0" w:color="auto"/>
        <w:bottom w:val="none" w:sz="0" w:space="0" w:color="auto"/>
        <w:right w:val="none" w:sz="0" w:space="0" w:color="auto"/>
      </w:divBdr>
    </w:div>
    <w:div w:id="1054279744">
      <w:bodyDiv w:val="1"/>
      <w:marLeft w:val="0"/>
      <w:marRight w:val="0"/>
      <w:marTop w:val="0"/>
      <w:marBottom w:val="0"/>
      <w:divBdr>
        <w:top w:val="none" w:sz="0" w:space="0" w:color="auto"/>
        <w:left w:val="none" w:sz="0" w:space="0" w:color="auto"/>
        <w:bottom w:val="none" w:sz="0" w:space="0" w:color="auto"/>
        <w:right w:val="none" w:sz="0" w:space="0" w:color="auto"/>
      </w:divBdr>
    </w:div>
    <w:div w:id="1059091011">
      <w:bodyDiv w:val="1"/>
      <w:marLeft w:val="0"/>
      <w:marRight w:val="0"/>
      <w:marTop w:val="0"/>
      <w:marBottom w:val="0"/>
      <w:divBdr>
        <w:top w:val="none" w:sz="0" w:space="0" w:color="auto"/>
        <w:left w:val="none" w:sz="0" w:space="0" w:color="auto"/>
        <w:bottom w:val="none" w:sz="0" w:space="0" w:color="auto"/>
        <w:right w:val="none" w:sz="0" w:space="0" w:color="auto"/>
      </w:divBdr>
    </w:div>
    <w:div w:id="1197936134">
      <w:bodyDiv w:val="1"/>
      <w:marLeft w:val="0"/>
      <w:marRight w:val="0"/>
      <w:marTop w:val="0"/>
      <w:marBottom w:val="0"/>
      <w:divBdr>
        <w:top w:val="none" w:sz="0" w:space="0" w:color="auto"/>
        <w:left w:val="none" w:sz="0" w:space="0" w:color="auto"/>
        <w:bottom w:val="none" w:sz="0" w:space="0" w:color="auto"/>
        <w:right w:val="none" w:sz="0" w:space="0" w:color="auto"/>
      </w:divBdr>
    </w:div>
    <w:div w:id="1228684536">
      <w:bodyDiv w:val="1"/>
      <w:marLeft w:val="0"/>
      <w:marRight w:val="0"/>
      <w:marTop w:val="0"/>
      <w:marBottom w:val="0"/>
      <w:divBdr>
        <w:top w:val="none" w:sz="0" w:space="0" w:color="auto"/>
        <w:left w:val="none" w:sz="0" w:space="0" w:color="auto"/>
        <w:bottom w:val="none" w:sz="0" w:space="0" w:color="auto"/>
        <w:right w:val="none" w:sz="0" w:space="0" w:color="auto"/>
      </w:divBdr>
    </w:div>
    <w:div w:id="1391076451">
      <w:bodyDiv w:val="1"/>
      <w:marLeft w:val="0"/>
      <w:marRight w:val="0"/>
      <w:marTop w:val="0"/>
      <w:marBottom w:val="0"/>
      <w:divBdr>
        <w:top w:val="none" w:sz="0" w:space="0" w:color="auto"/>
        <w:left w:val="none" w:sz="0" w:space="0" w:color="auto"/>
        <w:bottom w:val="none" w:sz="0" w:space="0" w:color="auto"/>
        <w:right w:val="none" w:sz="0" w:space="0" w:color="auto"/>
      </w:divBdr>
    </w:div>
    <w:div w:id="1432121257">
      <w:bodyDiv w:val="1"/>
      <w:marLeft w:val="0"/>
      <w:marRight w:val="0"/>
      <w:marTop w:val="0"/>
      <w:marBottom w:val="0"/>
      <w:divBdr>
        <w:top w:val="none" w:sz="0" w:space="0" w:color="auto"/>
        <w:left w:val="none" w:sz="0" w:space="0" w:color="auto"/>
        <w:bottom w:val="none" w:sz="0" w:space="0" w:color="auto"/>
        <w:right w:val="none" w:sz="0" w:space="0" w:color="auto"/>
      </w:divBdr>
    </w:div>
    <w:div w:id="1435319749">
      <w:bodyDiv w:val="1"/>
      <w:marLeft w:val="0"/>
      <w:marRight w:val="0"/>
      <w:marTop w:val="0"/>
      <w:marBottom w:val="0"/>
      <w:divBdr>
        <w:top w:val="none" w:sz="0" w:space="0" w:color="auto"/>
        <w:left w:val="none" w:sz="0" w:space="0" w:color="auto"/>
        <w:bottom w:val="none" w:sz="0" w:space="0" w:color="auto"/>
        <w:right w:val="none" w:sz="0" w:space="0" w:color="auto"/>
      </w:divBdr>
      <w:divsChild>
        <w:div w:id="800850589">
          <w:marLeft w:val="0"/>
          <w:marRight w:val="0"/>
          <w:marTop w:val="0"/>
          <w:marBottom w:val="0"/>
          <w:divBdr>
            <w:top w:val="none" w:sz="0" w:space="0" w:color="auto"/>
            <w:left w:val="none" w:sz="0" w:space="0" w:color="auto"/>
            <w:bottom w:val="none" w:sz="0" w:space="0" w:color="auto"/>
            <w:right w:val="none" w:sz="0" w:space="0" w:color="auto"/>
          </w:divBdr>
          <w:divsChild>
            <w:div w:id="946961341">
              <w:marLeft w:val="0"/>
              <w:marRight w:val="0"/>
              <w:marTop w:val="0"/>
              <w:marBottom w:val="0"/>
              <w:divBdr>
                <w:top w:val="none" w:sz="0" w:space="0" w:color="auto"/>
                <w:left w:val="none" w:sz="0" w:space="0" w:color="auto"/>
                <w:bottom w:val="none" w:sz="0" w:space="0" w:color="auto"/>
                <w:right w:val="none" w:sz="0" w:space="0" w:color="auto"/>
              </w:divBdr>
              <w:divsChild>
                <w:div w:id="423652434">
                  <w:marLeft w:val="0"/>
                  <w:marRight w:val="0"/>
                  <w:marTop w:val="0"/>
                  <w:marBottom w:val="0"/>
                  <w:divBdr>
                    <w:top w:val="none" w:sz="0" w:space="0" w:color="auto"/>
                    <w:left w:val="none" w:sz="0" w:space="0" w:color="auto"/>
                    <w:bottom w:val="none" w:sz="0" w:space="0" w:color="auto"/>
                    <w:right w:val="none" w:sz="0" w:space="0" w:color="auto"/>
                  </w:divBdr>
                  <w:divsChild>
                    <w:div w:id="1105734506">
                      <w:marLeft w:val="0"/>
                      <w:marRight w:val="0"/>
                      <w:marTop w:val="0"/>
                      <w:marBottom w:val="0"/>
                      <w:divBdr>
                        <w:top w:val="none" w:sz="0" w:space="0" w:color="auto"/>
                        <w:left w:val="none" w:sz="0" w:space="0" w:color="auto"/>
                        <w:bottom w:val="none" w:sz="0" w:space="0" w:color="auto"/>
                        <w:right w:val="none" w:sz="0" w:space="0" w:color="auto"/>
                      </w:divBdr>
                      <w:divsChild>
                        <w:div w:id="1905220336">
                          <w:marLeft w:val="0"/>
                          <w:marRight w:val="0"/>
                          <w:marTop w:val="0"/>
                          <w:marBottom w:val="0"/>
                          <w:divBdr>
                            <w:top w:val="single" w:sz="6" w:space="2" w:color="1060AC"/>
                            <w:left w:val="single" w:sz="6" w:space="2" w:color="1060AC"/>
                            <w:bottom w:val="single" w:sz="6" w:space="2" w:color="1060AC"/>
                            <w:right w:val="single" w:sz="6" w:space="2" w:color="1060AC"/>
                          </w:divBdr>
                          <w:divsChild>
                            <w:div w:id="1618756926">
                              <w:marLeft w:val="72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996">
      <w:bodyDiv w:val="1"/>
      <w:marLeft w:val="0"/>
      <w:marRight w:val="0"/>
      <w:marTop w:val="0"/>
      <w:marBottom w:val="0"/>
      <w:divBdr>
        <w:top w:val="none" w:sz="0" w:space="0" w:color="auto"/>
        <w:left w:val="none" w:sz="0" w:space="0" w:color="auto"/>
        <w:bottom w:val="none" w:sz="0" w:space="0" w:color="auto"/>
        <w:right w:val="none" w:sz="0" w:space="0" w:color="auto"/>
      </w:divBdr>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
    <w:div w:id="1587493645">
      <w:bodyDiv w:val="1"/>
      <w:marLeft w:val="0"/>
      <w:marRight w:val="0"/>
      <w:marTop w:val="0"/>
      <w:marBottom w:val="0"/>
      <w:divBdr>
        <w:top w:val="none" w:sz="0" w:space="0" w:color="auto"/>
        <w:left w:val="none" w:sz="0" w:space="0" w:color="auto"/>
        <w:bottom w:val="none" w:sz="0" w:space="0" w:color="auto"/>
        <w:right w:val="none" w:sz="0" w:space="0" w:color="auto"/>
      </w:divBdr>
    </w:div>
    <w:div w:id="1849523218">
      <w:bodyDiv w:val="1"/>
      <w:marLeft w:val="0"/>
      <w:marRight w:val="0"/>
      <w:marTop w:val="0"/>
      <w:marBottom w:val="0"/>
      <w:divBdr>
        <w:top w:val="none" w:sz="0" w:space="0" w:color="auto"/>
        <w:left w:val="none" w:sz="0" w:space="0" w:color="auto"/>
        <w:bottom w:val="none" w:sz="0" w:space="0" w:color="auto"/>
        <w:right w:val="none" w:sz="0" w:space="0" w:color="auto"/>
      </w:divBdr>
    </w:div>
    <w:div w:id="1870144512">
      <w:bodyDiv w:val="1"/>
      <w:marLeft w:val="0"/>
      <w:marRight w:val="0"/>
      <w:marTop w:val="0"/>
      <w:marBottom w:val="0"/>
      <w:divBdr>
        <w:top w:val="none" w:sz="0" w:space="0" w:color="auto"/>
        <w:left w:val="none" w:sz="0" w:space="0" w:color="auto"/>
        <w:bottom w:val="none" w:sz="0" w:space="0" w:color="auto"/>
        <w:right w:val="none" w:sz="0" w:space="0" w:color="auto"/>
      </w:divBdr>
    </w:div>
    <w:div w:id="1955206438">
      <w:bodyDiv w:val="1"/>
      <w:marLeft w:val="0"/>
      <w:marRight w:val="0"/>
      <w:marTop w:val="0"/>
      <w:marBottom w:val="0"/>
      <w:divBdr>
        <w:top w:val="none" w:sz="0" w:space="0" w:color="auto"/>
        <w:left w:val="none" w:sz="0" w:space="0" w:color="auto"/>
        <w:bottom w:val="none" w:sz="0" w:space="0" w:color="auto"/>
        <w:right w:val="none" w:sz="0" w:space="0" w:color="auto"/>
      </w:divBdr>
    </w:div>
    <w:div w:id="2006787715">
      <w:bodyDiv w:val="1"/>
      <w:marLeft w:val="0"/>
      <w:marRight w:val="0"/>
      <w:marTop w:val="0"/>
      <w:marBottom w:val="0"/>
      <w:divBdr>
        <w:top w:val="none" w:sz="0" w:space="0" w:color="auto"/>
        <w:left w:val="none" w:sz="0" w:space="0" w:color="auto"/>
        <w:bottom w:val="none" w:sz="0" w:space="0" w:color="auto"/>
        <w:right w:val="none" w:sz="0" w:space="0" w:color="auto"/>
      </w:divBdr>
    </w:div>
    <w:div w:id="2116710531">
      <w:bodyDiv w:val="1"/>
      <w:marLeft w:val="0"/>
      <w:marRight w:val="0"/>
      <w:marTop w:val="0"/>
      <w:marBottom w:val="0"/>
      <w:divBdr>
        <w:top w:val="none" w:sz="0" w:space="0" w:color="auto"/>
        <w:left w:val="none" w:sz="0" w:space="0" w:color="auto"/>
        <w:bottom w:val="none" w:sz="0" w:space="0" w:color="auto"/>
        <w:right w:val="none" w:sz="0" w:space="0" w:color="auto"/>
      </w:divBdr>
    </w:div>
    <w:div w:id="21275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2010-10-04T00:00:00</PublishDate>
  <Abstract>SCMers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A178B-21DC-430D-8A39-281C802C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Sport Obermeyer</vt:lpstr>
    </vt:vector>
  </TitlesOfParts>
  <Company>Hewlett-Packard</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Obermeyer</dc:title>
  <dc:subject>Instructor: Sachin Modi</dc:subject>
  <dc:creator>6 September 2010, Fall 2010</dc:creator>
  <cp:lastModifiedBy>Meagan Frances</cp:lastModifiedBy>
  <cp:revision>116</cp:revision>
  <cp:lastPrinted>2010-09-07T19:19:00Z</cp:lastPrinted>
  <dcterms:created xsi:type="dcterms:W3CDTF">2010-10-03T14:46:00Z</dcterms:created>
  <dcterms:modified xsi:type="dcterms:W3CDTF">2010-10-03T20:18:00Z</dcterms:modified>
</cp:coreProperties>
</file>