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6"/>
          <w:szCs w:val="72"/>
          <w:lang w:eastAsia="zh-TW"/>
        </w:rPr>
        <w:id w:val="89260029"/>
        <w:docPartObj>
          <w:docPartGallery w:val="Cover Pages"/>
          <w:docPartUnique/>
        </w:docPartObj>
      </w:sdtPr>
      <w:sdtEndPr>
        <w:rPr>
          <w:rFonts w:ascii="Times New Roman" w:eastAsiaTheme="minorEastAsia" w:hAnsi="Times New Roman" w:cs="Times New Roman"/>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785"/>
            <w:gridCol w:w="3788"/>
            <w:gridCol w:w="2939"/>
          </w:tblGrid>
          <w:tr w:rsidR="00B3102B">
            <w:sdt>
              <w:sdtPr>
                <w:rPr>
                  <w:rFonts w:asciiTheme="majorHAnsi" w:eastAsiaTheme="majorEastAsia" w:hAnsiTheme="majorHAnsi" w:cstheme="majorBidi"/>
                  <w:sz w:val="76"/>
                  <w:szCs w:val="72"/>
                  <w:lang w:eastAsia="zh-TW"/>
                </w:rPr>
                <w:alias w:val="Title"/>
                <w:id w:val="276713177"/>
                <w:dataBinding w:prefixMappings="xmlns:ns0='http://schemas.openxmlformats.org/package/2006/metadata/core-properties' xmlns:ns1='http://purl.org/dc/elements/1.1/'" w:xpath="/ns0:coreProperties[1]/ns1:title[1]" w:storeItemID="{6C3C8BC8-F283-45AE-878A-BAB7291924A1}"/>
                <w:text/>
              </w:sdtPr>
              <w:sdtEndPr>
                <w:rPr>
                  <w:lang w:eastAsia="en-U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B3102B" w:rsidRDefault="00B3102B">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Scotts Miracle-</w:t>
                    </w:r>
                    <w:proofErr w:type="spellStart"/>
                    <w:r>
                      <w:rPr>
                        <w:rFonts w:asciiTheme="majorHAnsi" w:eastAsiaTheme="majorEastAsia" w:hAnsiTheme="majorHAnsi" w:cstheme="majorBidi"/>
                        <w:sz w:val="76"/>
                        <w:szCs w:val="72"/>
                      </w:rPr>
                      <w:t>Gro</w:t>
                    </w:r>
                    <w:proofErr w:type="spellEnd"/>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0-09-07T00:00:00Z">
                    <w:dateFormat w:val="MMMM d"/>
                    <w:lid w:val="en-US"/>
                    <w:storeMappedDataAs w:val="dateTime"/>
                    <w:calendar w:val="gregorian"/>
                  </w:date>
                </w:sdtPr>
                <w:sdtContent>
                  <w:p w:rsidR="00B3102B" w:rsidRDefault="00DA602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September 7</w:t>
                    </w:r>
                  </w:p>
                </w:sdtContent>
              </w:sdt>
              <w:p w:rsidR="00B3102B" w:rsidRDefault="00B3102B" w:rsidP="00B3102B">
                <w:pPr>
                  <w:pStyle w:val="NoSpacing"/>
                  <w:rPr>
                    <w:color w:val="4F81BD" w:themeColor="accent1"/>
                    <w:sz w:val="200"/>
                    <w:szCs w:val="200"/>
                  </w:rPr>
                </w:pPr>
                <w:r w:rsidRPr="00B3102B">
                  <w:rPr>
                    <w:color w:val="4F81BD" w:themeColor="accent1"/>
                    <w:sz w:val="96"/>
                    <w:szCs w:val="200"/>
                  </w:rPr>
                  <w:t>BUAD 6600</w:t>
                </w:r>
              </w:p>
            </w:tc>
          </w:tr>
          <w:tr w:rsidR="00B3102B">
            <w:tc>
              <w:tcPr>
                <w:tcW w:w="7054" w:type="dxa"/>
                <w:gridSpan w:val="2"/>
                <w:tcBorders>
                  <w:top w:val="single" w:sz="18" w:space="0" w:color="808080" w:themeColor="background1" w:themeShade="80"/>
                </w:tcBorders>
                <w:vAlign w:val="center"/>
              </w:tcPr>
              <w:sdt>
                <w:sdtPr>
                  <w:rPr>
                    <w:b/>
                  </w:rPr>
                  <w:alias w:val="Abstract"/>
                  <w:id w:val="276713183"/>
                  <w:dataBinding w:prefixMappings="xmlns:ns0='http://schemas.microsoft.com/office/2006/coverPageProps'" w:xpath="/ns0:CoverPageProperties[1]/ns0:Abstract[1]" w:storeItemID="{55AF091B-3C7A-41E3-B477-F2FDAA23CFDA}"/>
                  <w:text/>
                </w:sdtPr>
                <w:sdtContent>
                  <w:p w:rsidR="00B3102B" w:rsidRDefault="00FE452F" w:rsidP="001677F0">
                    <w:pPr>
                      <w:pStyle w:val="NoSpacing"/>
                      <w:ind w:left="540"/>
                    </w:pPr>
                    <w:proofErr w:type="spellStart"/>
                    <w:r w:rsidRPr="001677F0">
                      <w:rPr>
                        <w:b/>
                      </w:rPr>
                      <w:t>SCMers</w:t>
                    </w:r>
                    <w:proofErr w:type="spellEnd"/>
                  </w:p>
                </w:sdtContent>
              </w:sdt>
              <w:p w:rsidR="00F372B3" w:rsidRDefault="00F372B3" w:rsidP="00F372B3">
                <w:pPr>
                  <w:pStyle w:val="NoSpacing"/>
                </w:pPr>
                <w:r>
                  <w:t>Meagan Frances Ayers</w:t>
                </w:r>
              </w:p>
              <w:p w:rsidR="00F372B3" w:rsidRDefault="00F372B3" w:rsidP="00FE452F">
                <w:pPr>
                  <w:pStyle w:val="NoSpacing"/>
                </w:pPr>
                <w:r>
                  <w:t>James Franks</w:t>
                </w:r>
              </w:p>
              <w:p w:rsidR="00F372B3" w:rsidRDefault="00F372B3" w:rsidP="00FE452F">
                <w:pPr>
                  <w:pStyle w:val="NoSpacing"/>
                </w:pPr>
                <w:proofErr w:type="spellStart"/>
                <w:r>
                  <w:t>Emelie</w:t>
                </w:r>
                <w:proofErr w:type="spellEnd"/>
                <w:r>
                  <w:t xml:space="preserve"> Hall</w:t>
                </w:r>
              </w:p>
              <w:p w:rsidR="00D72456" w:rsidRDefault="00D72456" w:rsidP="00D72456">
                <w:pPr>
                  <w:pStyle w:val="NoSpacing"/>
                </w:pPr>
                <w:r>
                  <w:t>Jean-Hubert Trahan</w:t>
                </w:r>
              </w:p>
              <w:p w:rsidR="00D72456" w:rsidRDefault="00D72456" w:rsidP="00FE452F">
                <w:pPr>
                  <w:pStyle w:val="NoSpacing"/>
                </w:pPr>
              </w:p>
            </w:tc>
            <w:sdt>
              <w:sdtPr>
                <w:rPr>
                  <w:color w:val="4F81BD" w:themeColor="accent1"/>
                  <w:sz w:val="48"/>
                  <w:szCs w:val="200"/>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B3102B" w:rsidRDefault="00DB6588" w:rsidP="00B3102B">
                    <w:pPr>
                      <w:pStyle w:val="NoSpacing"/>
                      <w:rPr>
                        <w:rFonts w:asciiTheme="majorHAnsi" w:eastAsiaTheme="majorEastAsia" w:hAnsiTheme="majorHAnsi" w:cstheme="majorBidi"/>
                        <w:sz w:val="36"/>
                        <w:szCs w:val="36"/>
                      </w:rPr>
                    </w:pPr>
                    <w:r>
                      <w:rPr>
                        <w:color w:val="4F81BD" w:themeColor="accent1"/>
                        <w:sz w:val="48"/>
                        <w:szCs w:val="200"/>
                      </w:rPr>
                      <w:t xml:space="preserve">Instructor: </w:t>
                    </w:r>
                    <w:proofErr w:type="spellStart"/>
                    <w:r w:rsidR="00B3102B" w:rsidRPr="00B3102B">
                      <w:rPr>
                        <w:color w:val="4F81BD" w:themeColor="accent1"/>
                        <w:sz w:val="48"/>
                        <w:szCs w:val="200"/>
                      </w:rPr>
                      <w:t>Sachin</w:t>
                    </w:r>
                    <w:proofErr w:type="spellEnd"/>
                    <w:r w:rsidR="00B3102B" w:rsidRPr="00B3102B">
                      <w:rPr>
                        <w:color w:val="4F81BD" w:themeColor="accent1"/>
                        <w:sz w:val="48"/>
                        <w:szCs w:val="200"/>
                      </w:rPr>
                      <w:t xml:space="preserve"> </w:t>
                    </w:r>
                    <w:proofErr w:type="spellStart"/>
                    <w:r w:rsidR="00B3102B" w:rsidRPr="00B3102B">
                      <w:rPr>
                        <w:color w:val="4F81BD" w:themeColor="accent1"/>
                        <w:sz w:val="48"/>
                        <w:szCs w:val="200"/>
                      </w:rPr>
                      <w:t>Modi</w:t>
                    </w:r>
                    <w:proofErr w:type="spellEnd"/>
                  </w:p>
                </w:tc>
              </w:sdtContent>
            </w:sdt>
          </w:tr>
        </w:tbl>
        <w:p w:rsidR="00FE452F" w:rsidRDefault="00E514AC" w:rsidP="003F0D26"/>
      </w:sdtContent>
    </w:sdt>
    <w:p w:rsidR="001655AE" w:rsidRPr="00FE452F" w:rsidRDefault="00700516" w:rsidP="00467902">
      <w:pPr>
        <w:jc w:val="both"/>
      </w:pPr>
      <w:r>
        <w:br w:type="page"/>
      </w:r>
      <w:r w:rsidR="003C0B43" w:rsidRPr="00700516">
        <w:rPr>
          <w:b/>
          <w:sz w:val="28"/>
        </w:rPr>
        <w:lastRenderedPageBreak/>
        <w:t>Objective/Scope</w:t>
      </w:r>
    </w:p>
    <w:p w:rsidR="003C0B43" w:rsidRDefault="003C0B43" w:rsidP="00467902">
      <w:pPr>
        <w:jc w:val="both"/>
      </w:pPr>
    </w:p>
    <w:p w:rsidR="003C0B43" w:rsidRDefault="001E5DBC" w:rsidP="00467902">
      <w:pPr>
        <w:jc w:val="both"/>
      </w:pPr>
      <w:r>
        <w:t xml:space="preserve">The purpose of this </w:t>
      </w:r>
      <w:r w:rsidR="00B217B0">
        <w:t xml:space="preserve">article is to determine whether staying at the Temecula plant or outsourcing to China is the best </w:t>
      </w:r>
      <w:r w:rsidR="00CB6303">
        <w:t>option for Scotts Miracle-Gro. A cost analysis will be used to determine which option will give Scotts Miracle-</w:t>
      </w:r>
      <w:proofErr w:type="spellStart"/>
      <w:r w:rsidR="00CB6303">
        <w:t>Gro</w:t>
      </w:r>
      <w:proofErr w:type="spellEnd"/>
      <w:r w:rsidR="00CB6303">
        <w:t xml:space="preserve"> the best opportunity for long-term </w:t>
      </w:r>
      <w:r w:rsidR="00D72456">
        <w:t>growth and profit</w:t>
      </w:r>
      <w:r w:rsidR="00CB6303">
        <w:t>.</w:t>
      </w:r>
    </w:p>
    <w:p w:rsidR="003C0B43" w:rsidRDefault="003C0B43" w:rsidP="00467902">
      <w:pPr>
        <w:jc w:val="both"/>
      </w:pPr>
    </w:p>
    <w:p w:rsidR="003C0B43" w:rsidRPr="00700516" w:rsidRDefault="003C0B43" w:rsidP="00467902">
      <w:pPr>
        <w:jc w:val="both"/>
        <w:rPr>
          <w:b/>
        </w:rPr>
      </w:pPr>
      <w:r w:rsidRPr="00700516">
        <w:rPr>
          <w:b/>
          <w:sz w:val="28"/>
        </w:rPr>
        <w:t>Recommendations</w:t>
      </w:r>
    </w:p>
    <w:p w:rsidR="003C0B43" w:rsidRDefault="003C0B43" w:rsidP="00467902">
      <w:pPr>
        <w:jc w:val="both"/>
      </w:pPr>
    </w:p>
    <w:p w:rsidR="00FD02D0" w:rsidRDefault="00803407" w:rsidP="00467902">
      <w:pPr>
        <w:jc w:val="both"/>
      </w:pPr>
      <w:r>
        <w:t>It has been determined that staying in the United States at the Temecula plan</w:t>
      </w:r>
      <w:r w:rsidR="00B44345">
        <w:t xml:space="preserve">t </w:t>
      </w:r>
      <w:r>
        <w:t>in California</w:t>
      </w:r>
      <w:r w:rsidR="00CF1443">
        <w:t xml:space="preserve"> w</w:t>
      </w:r>
      <w:r w:rsidR="00B44345">
        <w:t>ill be the best decision for</w:t>
      </w:r>
      <w:r w:rsidR="00CF1443">
        <w:t xml:space="preserve"> Scotts Miracle-</w:t>
      </w:r>
      <w:proofErr w:type="spellStart"/>
      <w:r w:rsidR="00CF1443">
        <w:t>Gro</w:t>
      </w:r>
      <w:proofErr w:type="spellEnd"/>
      <w:r w:rsidR="00CF1443">
        <w:t xml:space="preserve"> financially and with regards to their image and product quality</w:t>
      </w:r>
      <w:r>
        <w:t>.  However, in order to remain competitive,</w:t>
      </w:r>
      <w:r w:rsidR="00CF1443">
        <w:t xml:space="preserve"> costs must be lowered to keep profits up to par with where they would be had </w:t>
      </w:r>
      <w:r w:rsidR="00B44345">
        <w:t>t</w:t>
      </w:r>
      <w:r w:rsidR="00CF1443">
        <w:t xml:space="preserve">he company decided to outsource.  To do </w:t>
      </w:r>
      <w:r w:rsidR="000044B4">
        <w:t>this, it has been recommended that Scotts Miracle-</w:t>
      </w:r>
      <w:proofErr w:type="spellStart"/>
      <w:r w:rsidR="000044B4">
        <w:t>Gro</w:t>
      </w:r>
      <w:proofErr w:type="spellEnd"/>
      <w:r w:rsidR="000044B4">
        <w:t xml:space="preserve"> cut production costs by reducing:</w:t>
      </w:r>
    </w:p>
    <w:p w:rsidR="000044B4" w:rsidRDefault="000044B4" w:rsidP="00467902">
      <w:pPr>
        <w:jc w:val="both"/>
      </w:pPr>
    </w:p>
    <w:p w:rsidR="001E30F2" w:rsidRPr="001E30F2" w:rsidRDefault="009524E1" w:rsidP="00467902">
      <w:pPr>
        <w:pStyle w:val="ListParagraph"/>
        <w:numPr>
          <w:ilvl w:val="0"/>
          <w:numId w:val="3"/>
        </w:numPr>
        <w:autoSpaceDE w:val="0"/>
        <w:autoSpaceDN w:val="0"/>
        <w:adjustRightInd w:val="0"/>
        <w:jc w:val="both"/>
        <w:rPr>
          <w:szCs w:val="24"/>
        </w:rPr>
      </w:pPr>
      <w:r>
        <w:rPr>
          <w:szCs w:val="24"/>
        </w:rPr>
        <w:t>Energy</w:t>
      </w:r>
      <w:r w:rsidR="001E30F2" w:rsidRPr="001E30F2">
        <w:rPr>
          <w:szCs w:val="24"/>
        </w:rPr>
        <w:t xml:space="preserve"> C</w:t>
      </w:r>
      <w:r w:rsidR="001E30F2">
        <w:rPr>
          <w:szCs w:val="24"/>
        </w:rPr>
        <w:t>osts,</w:t>
      </w:r>
    </w:p>
    <w:p w:rsidR="0074013F" w:rsidRDefault="0074013F" w:rsidP="0074013F">
      <w:pPr>
        <w:pStyle w:val="ListParagraph"/>
        <w:numPr>
          <w:ilvl w:val="0"/>
          <w:numId w:val="3"/>
        </w:numPr>
        <w:autoSpaceDE w:val="0"/>
        <w:autoSpaceDN w:val="0"/>
        <w:adjustRightInd w:val="0"/>
        <w:jc w:val="both"/>
        <w:rPr>
          <w:szCs w:val="24"/>
        </w:rPr>
      </w:pPr>
      <w:r>
        <w:rPr>
          <w:szCs w:val="24"/>
        </w:rPr>
        <w:t>Raw Materials Costs, and</w:t>
      </w:r>
    </w:p>
    <w:p w:rsidR="00D01827" w:rsidRDefault="001E30F2" w:rsidP="00467902">
      <w:pPr>
        <w:pStyle w:val="ListParagraph"/>
        <w:numPr>
          <w:ilvl w:val="0"/>
          <w:numId w:val="3"/>
        </w:numPr>
        <w:autoSpaceDE w:val="0"/>
        <w:autoSpaceDN w:val="0"/>
        <w:adjustRightInd w:val="0"/>
        <w:jc w:val="both"/>
        <w:rPr>
          <w:szCs w:val="24"/>
        </w:rPr>
      </w:pPr>
      <w:r w:rsidRPr="001E30F2">
        <w:rPr>
          <w:szCs w:val="24"/>
        </w:rPr>
        <w:t>Labor C</w:t>
      </w:r>
      <w:r w:rsidR="0074013F">
        <w:rPr>
          <w:szCs w:val="24"/>
        </w:rPr>
        <w:t>osts.</w:t>
      </w:r>
    </w:p>
    <w:p w:rsidR="001E30F2" w:rsidRDefault="001E30F2" w:rsidP="00467902">
      <w:pPr>
        <w:autoSpaceDE w:val="0"/>
        <w:autoSpaceDN w:val="0"/>
        <w:adjustRightInd w:val="0"/>
        <w:jc w:val="both"/>
        <w:rPr>
          <w:szCs w:val="24"/>
        </w:rPr>
      </w:pPr>
    </w:p>
    <w:p w:rsidR="00E84727" w:rsidRDefault="00E84727" w:rsidP="00467902">
      <w:pPr>
        <w:autoSpaceDE w:val="0"/>
        <w:autoSpaceDN w:val="0"/>
        <w:adjustRightInd w:val="0"/>
        <w:jc w:val="both"/>
        <w:rPr>
          <w:szCs w:val="24"/>
        </w:rPr>
      </w:pPr>
      <w:r>
        <w:rPr>
          <w:szCs w:val="24"/>
        </w:rPr>
        <w:t>By reducing costs, Scott’s Miracle-</w:t>
      </w:r>
      <w:proofErr w:type="spellStart"/>
      <w:r>
        <w:rPr>
          <w:szCs w:val="24"/>
        </w:rPr>
        <w:t>Gro</w:t>
      </w:r>
      <w:proofErr w:type="spellEnd"/>
      <w:r>
        <w:rPr>
          <w:szCs w:val="24"/>
        </w:rPr>
        <w:t xml:space="preserve"> can re</w:t>
      </w:r>
      <w:r w:rsidR="00B44345">
        <w:rPr>
          <w:szCs w:val="24"/>
        </w:rPr>
        <w:t xml:space="preserve">main competitive while </w:t>
      </w:r>
      <w:r>
        <w:rPr>
          <w:szCs w:val="24"/>
        </w:rPr>
        <w:t>in the United S</w:t>
      </w:r>
      <w:r w:rsidR="00B44345">
        <w:rPr>
          <w:szCs w:val="24"/>
        </w:rPr>
        <w:t>tates and avoid</w:t>
      </w:r>
      <w:r>
        <w:rPr>
          <w:szCs w:val="24"/>
        </w:rPr>
        <w:t xml:space="preserve"> outsourcing the production line</w:t>
      </w:r>
      <w:r w:rsidR="00B44345">
        <w:rPr>
          <w:szCs w:val="24"/>
        </w:rPr>
        <w:t xml:space="preserve"> to China</w:t>
      </w:r>
      <w:r>
        <w:rPr>
          <w:szCs w:val="24"/>
        </w:rPr>
        <w:t>.</w:t>
      </w:r>
    </w:p>
    <w:p w:rsidR="00E84727" w:rsidRPr="001E30F2" w:rsidRDefault="00E84727" w:rsidP="00467902">
      <w:pPr>
        <w:autoSpaceDE w:val="0"/>
        <w:autoSpaceDN w:val="0"/>
        <w:adjustRightInd w:val="0"/>
        <w:jc w:val="both"/>
        <w:rPr>
          <w:szCs w:val="24"/>
        </w:rPr>
      </w:pPr>
    </w:p>
    <w:p w:rsidR="003C0B43" w:rsidRPr="00700516" w:rsidRDefault="003C0B43" w:rsidP="00467902">
      <w:pPr>
        <w:jc w:val="both"/>
        <w:rPr>
          <w:b/>
        </w:rPr>
      </w:pPr>
      <w:r w:rsidRPr="00700516">
        <w:rPr>
          <w:b/>
          <w:sz w:val="28"/>
        </w:rPr>
        <w:t>Analysis</w:t>
      </w:r>
    </w:p>
    <w:p w:rsidR="003C0B43" w:rsidRDefault="003C0B43" w:rsidP="00467902">
      <w:pPr>
        <w:jc w:val="both"/>
      </w:pPr>
    </w:p>
    <w:p w:rsidR="003C0B43" w:rsidRPr="00FD02D0" w:rsidRDefault="00FD02D0" w:rsidP="00467902">
      <w:pPr>
        <w:jc w:val="both"/>
        <w:rPr>
          <w:i/>
        </w:rPr>
      </w:pPr>
      <w:r w:rsidRPr="00FD02D0">
        <w:rPr>
          <w:i/>
        </w:rPr>
        <w:t>Risk and Benefits</w:t>
      </w:r>
    </w:p>
    <w:p w:rsidR="00700516" w:rsidRDefault="00700516" w:rsidP="00467902">
      <w:pPr>
        <w:jc w:val="both"/>
      </w:pPr>
    </w:p>
    <w:p w:rsidR="00D01827" w:rsidRDefault="00D01827" w:rsidP="00467902">
      <w:pPr>
        <w:jc w:val="both"/>
      </w:pPr>
      <w:r>
        <w:t>Upon reviewing the information regarding the production line of The Spreader, it has been concluded that there are many risks with outsourcing the production line overseas to China which include but are not limited to:</w:t>
      </w:r>
    </w:p>
    <w:p w:rsidR="00D01827" w:rsidRPr="00FD02D0" w:rsidRDefault="00D01827" w:rsidP="00467902">
      <w:pPr>
        <w:numPr>
          <w:ilvl w:val="0"/>
          <w:numId w:val="1"/>
        </w:numPr>
        <w:spacing w:before="100" w:beforeAutospacing="1" w:after="100" w:afterAutospacing="1"/>
        <w:jc w:val="both"/>
        <w:rPr>
          <w:rFonts w:eastAsia="Times New Roman"/>
          <w:szCs w:val="24"/>
        </w:rPr>
      </w:pPr>
      <w:r w:rsidRPr="00FD02D0">
        <w:rPr>
          <w:rFonts w:eastAsia="Times New Roman"/>
          <w:szCs w:val="24"/>
        </w:rPr>
        <w:t>Loss of quality</w:t>
      </w:r>
    </w:p>
    <w:p w:rsidR="00D01827" w:rsidRDefault="00D01827" w:rsidP="00467902">
      <w:pPr>
        <w:numPr>
          <w:ilvl w:val="0"/>
          <w:numId w:val="1"/>
        </w:numPr>
        <w:spacing w:before="100" w:beforeAutospacing="1" w:after="100" w:afterAutospacing="1"/>
        <w:jc w:val="both"/>
        <w:rPr>
          <w:rFonts w:eastAsia="Times New Roman"/>
          <w:szCs w:val="24"/>
        </w:rPr>
      </w:pPr>
      <w:r>
        <w:rPr>
          <w:rFonts w:eastAsia="Times New Roman"/>
          <w:szCs w:val="24"/>
        </w:rPr>
        <w:t>L</w:t>
      </w:r>
      <w:r w:rsidRPr="00FD02D0">
        <w:rPr>
          <w:rFonts w:eastAsia="Times New Roman"/>
          <w:szCs w:val="24"/>
        </w:rPr>
        <w:t>oss of production innovation</w:t>
      </w:r>
    </w:p>
    <w:p w:rsidR="008168F5" w:rsidRPr="00FD02D0" w:rsidRDefault="008168F5" w:rsidP="00467902">
      <w:pPr>
        <w:numPr>
          <w:ilvl w:val="0"/>
          <w:numId w:val="1"/>
        </w:numPr>
        <w:spacing w:before="100" w:beforeAutospacing="1" w:after="100" w:afterAutospacing="1"/>
        <w:jc w:val="both"/>
        <w:rPr>
          <w:rFonts w:eastAsia="Times New Roman"/>
          <w:szCs w:val="24"/>
        </w:rPr>
      </w:pPr>
      <w:r>
        <w:rPr>
          <w:rFonts w:eastAsia="Times New Roman"/>
          <w:szCs w:val="24"/>
        </w:rPr>
        <w:t>Forgoing in-mold label capabilities or paying to provide such technology to a contract manufacturer</w:t>
      </w:r>
    </w:p>
    <w:p w:rsidR="00D01827" w:rsidRPr="00FD02D0" w:rsidRDefault="00D01827" w:rsidP="00467902">
      <w:pPr>
        <w:numPr>
          <w:ilvl w:val="0"/>
          <w:numId w:val="1"/>
        </w:numPr>
        <w:spacing w:before="100" w:beforeAutospacing="1" w:after="100" w:afterAutospacing="1"/>
        <w:jc w:val="both"/>
        <w:rPr>
          <w:rFonts w:eastAsia="Times New Roman"/>
          <w:szCs w:val="24"/>
        </w:rPr>
      </w:pPr>
      <w:r>
        <w:rPr>
          <w:rFonts w:eastAsia="Times New Roman"/>
          <w:szCs w:val="24"/>
        </w:rPr>
        <w:t xml:space="preserve">Lead time; </w:t>
      </w:r>
      <w:r w:rsidRPr="00FD02D0">
        <w:rPr>
          <w:rFonts w:eastAsia="Times New Roman"/>
          <w:szCs w:val="24"/>
        </w:rPr>
        <w:t>Defective batches will not be detect</w:t>
      </w:r>
      <w:r w:rsidR="008168F5">
        <w:rPr>
          <w:rFonts w:eastAsia="Times New Roman"/>
          <w:szCs w:val="24"/>
        </w:rPr>
        <w:t>ed until they arrive from China</w:t>
      </w:r>
    </w:p>
    <w:p w:rsidR="00D01827" w:rsidRPr="00FD02D0" w:rsidRDefault="00D01827" w:rsidP="00467902">
      <w:pPr>
        <w:numPr>
          <w:ilvl w:val="0"/>
          <w:numId w:val="1"/>
        </w:numPr>
        <w:spacing w:before="100" w:beforeAutospacing="1" w:after="100" w:afterAutospacing="1"/>
        <w:jc w:val="both"/>
        <w:rPr>
          <w:rFonts w:eastAsia="Times New Roman"/>
          <w:szCs w:val="24"/>
        </w:rPr>
      </w:pPr>
      <w:r w:rsidRPr="00FD02D0">
        <w:rPr>
          <w:rFonts w:eastAsia="Times New Roman"/>
          <w:szCs w:val="24"/>
        </w:rPr>
        <w:t>Slight risk of change in</w:t>
      </w:r>
      <w:r w:rsidR="00F4314B">
        <w:rPr>
          <w:rFonts w:eastAsia="Times New Roman"/>
          <w:szCs w:val="24"/>
        </w:rPr>
        <w:t xml:space="preserve"> policies regarding</w:t>
      </w:r>
      <w:r w:rsidRPr="00FD02D0">
        <w:rPr>
          <w:rFonts w:eastAsia="Times New Roman"/>
          <w:szCs w:val="24"/>
        </w:rPr>
        <w:t xml:space="preserve"> duties and taxes on agricultural imports</w:t>
      </w:r>
    </w:p>
    <w:p w:rsidR="00D01827" w:rsidRPr="00FD02D0" w:rsidRDefault="00D01827" w:rsidP="00467902">
      <w:pPr>
        <w:numPr>
          <w:ilvl w:val="0"/>
          <w:numId w:val="1"/>
        </w:numPr>
        <w:spacing w:before="100" w:beforeAutospacing="1" w:after="100" w:afterAutospacing="1"/>
        <w:jc w:val="both"/>
        <w:rPr>
          <w:rFonts w:eastAsia="Times New Roman"/>
          <w:szCs w:val="24"/>
        </w:rPr>
      </w:pPr>
      <w:r w:rsidRPr="00FD02D0">
        <w:rPr>
          <w:rFonts w:eastAsia="Times New Roman"/>
          <w:szCs w:val="24"/>
        </w:rPr>
        <w:t>Risk of labor and utility rates increasing faster than expected</w:t>
      </w:r>
    </w:p>
    <w:p w:rsidR="00D01827" w:rsidRDefault="00D01827" w:rsidP="00467902">
      <w:pPr>
        <w:numPr>
          <w:ilvl w:val="0"/>
          <w:numId w:val="1"/>
        </w:numPr>
        <w:spacing w:before="100" w:beforeAutospacing="1" w:after="100" w:afterAutospacing="1"/>
        <w:jc w:val="both"/>
        <w:rPr>
          <w:rFonts w:eastAsia="Times New Roman"/>
          <w:szCs w:val="24"/>
        </w:rPr>
      </w:pPr>
      <w:r w:rsidRPr="00FD02D0">
        <w:rPr>
          <w:rFonts w:eastAsia="Times New Roman"/>
          <w:szCs w:val="24"/>
        </w:rPr>
        <w:t xml:space="preserve">Currency </w:t>
      </w:r>
      <w:r w:rsidR="0099264E">
        <w:rPr>
          <w:rFonts w:eastAsia="Times New Roman"/>
          <w:szCs w:val="24"/>
        </w:rPr>
        <w:t>exchange</w:t>
      </w:r>
      <w:r w:rsidRPr="00FD02D0">
        <w:rPr>
          <w:rFonts w:eastAsia="Times New Roman"/>
          <w:szCs w:val="24"/>
        </w:rPr>
        <w:t xml:space="preserve"> rate</w:t>
      </w:r>
      <w:r w:rsidR="008168F5">
        <w:rPr>
          <w:rFonts w:eastAsia="Times New Roman"/>
          <w:szCs w:val="24"/>
        </w:rPr>
        <w:t xml:space="preserve"> risk; undervalued Yuan</w:t>
      </w:r>
    </w:p>
    <w:p w:rsidR="00D01827" w:rsidRDefault="00D01827" w:rsidP="00467902">
      <w:pPr>
        <w:spacing w:before="100" w:beforeAutospacing="1" w:after="100" w:afterAutospacing="1"/>
        <w:jc w:val="both"/>
        <w:rPr>
          <w:rFonts w:eastAsia="Times New Roman"/>
          <w:szCs w:val="24"/>
        </w:rPr>
      </w:pPr>
      <w:r>
        <w:rPr>
          <w:rFonts w:eastAsia="Times New Roman"/>
          <w:szCs w:val="24"/>
        </w:rPr>
        <w:t xml:space="preserve">While there </w:t>
      </w:r>
      <w:r w:rsidR="00CB6303">
        <w:rPr>
          <w:rFonts w:eastAsia="Times New Roman"/>
          <w:szCs w:val="24"/>
        </w:rPr>
        <w:t xml:space="preserve">are </w:t>
      </w:r>
      <w:r>
        <w:rPr>
          <w:rFonts w:eastAsia="Times New Roman"/>
          <w:szCs w:val="24"/>
        </w:rPr>
        <w:t>many risks, there are few benefits for outsourcing the production line which include:</w:t>
      </w:r>
    </w:p>
    <w:p w:rsidR="00D01827" w:rsidRPr="00D01827" w:rsidRDefault="00D01827" w:rsidP="00467902">
      <w:pPr>
        <w:numPr>
          <w:ilvl w:val="0"/>
          <w:numId w:val="2"/>
        </w:numPr>
        <w:spacing w:before="100" w:beforeAutospacing="1" w:after="100" w:afterAutospacing="1"/>
        <w:jc w:val="both"/>
        <w:rPr>
          <w:rFonts w:eastAsia="Times New Roman"/>
          <w:szCs w:val="24"/>
        </w:rPr>
      </w:pPr>
      <w:r w:rsidRPr="00D01827">
        <w:rPr>
          <w:rFonts w:eastAsia="Times New Roman"/>
          <w:szCs w:val="24"/>
        </w:rPr>
        <w:t>Cheap labor</w:t>
      </w:r>
      <w:r>
        <w:rPr>
          <w:rFonts w:eastAsia="Times New Roman"/>
          <w:szCs w:val="24"/>
        </w:rPr>
        <w:t>, and</w:t>
      </w:r>
    </w:p>
    <w:p w:rsidR="00D01827" w:rsidRDefault="00D01827" w:rsidP="00467902">
      <w:pPr>
        <w:numPr>
          <w:ilvl w:val="0"/>
          <w:numId w:val="2"/>
        </w:numPr>
        <w:spacing w:before="100" w:beforeAutospacing="1" w:after="100" w:afterAutospacing="1"/>
        <w:jc w:val="both"/>
      </w:pPr>
      <w:r w:rsidRPr="00D01827">
        <w:rPr>
          <w:rFonts w:eastAsia="Times New Roman"/>
          <w:szCs w:val="24"/>
        </w:rPr>
        <w:t>Cheap electricity</w:t>
      </w:r>
      <w:r>
        <w:rPr>
          <w:rFonts w:eastAsia="Times New Roman"/>
          <w:szCs w:val="24"/>
        </w:rPr>
        <w:t>.</w:t>
      </w:r>
    </w:p>
    <w:p w:rsidR="00803407" w:rsidRDefault="00803407" w:rsidP="00467902">
      <w:pPr>
        <w:spacing w:before="100" w:beforeAutospacing="1" w:after="100" w:afterAutospacing="1"/>
        <w:jc w:val="both"/>
      </w:pPr>
      <w:r>
        <w:t>Therefore, it has been determined that since the benefits are outweighed by the risks, staying in the United States</w:t>
      </w:r>
      <w:r w:rsidR="00934934">
        <w:t xml:space="preserve"> should be the first priority.</w:t>
      </w:r>
    </w:p>
    <w:p w:rsidR="003C5519" w:rsidRDefault="003C5519" w:rsidP="00467902">
      <w:pPr>
        <w:spacing w:before="100" w:beforeAutospacing="1" w:after="100" w:afterAutospacing="1"/>
        <w:jc w:val="both"/>
        <w:rPr>
          <w:i/>
        </w:rPr>
      </w:pPr>
    </w:p>
    <w:p w:rsidR="008168F5" w:rsidRDefault="009524E1" w:rsidP="00467902">
      <w:pPr>
        <w:spacing w:before="100" w:beforeAutospacing="1" w:after="100" w:afterAutospacing="1"/>
        <w:jc w:val="both"/>
        <w:rPr>
          <w:i/>
        </w:rPr>
      </w:pPr>
      <w:r>
        <w:rPr>
          <w:i/>
        </w:rPr>
        <w:lastRenderedPageBreak/>
        <w:t>Cost Analysis</w:t>
      </w:r>
    </w:p>
    <w:p w:rsidR="00A06AD0" w:rsidRDefault="0099264E" w:rsidP="00467902">
      <w:pPr>
        <w:spacing w:before="100" w:beforeAutospacing="1" w:after="100" w:afterAutospacing="1"/>
        <w:jc w:val="both"/>
      </w:pPr>
      <w:r>
        <w:t xml:space="preserve">An analysis of the costs between manufacturing </w:t>
      </w:r>
      <w:r w:rsidR="008168F5">
        <w:t>in Temecula, CA</w:t>
      </w:r>
      <w:r>
        <w:t xml:space="preserve"> and in China show that Scotts Miracle-</w:t>
      </w:r>
      <w:proofErr w:type="spellStart"/>
      <w:r>
        <w:t>Gro</w:t>
      </w:r>
      <w:proofErr w:type="spellEnd"/>
      <w:r>
        <w:t xml:space="preserve"> can save between $4.6 million and $4.8 million per year</w:t>
      </w:r>
      <w:r w:rsidR="008168F5">
        <w:t xml:space="preserve"> by using a contract manufacturer</w:t>
      </w:r>
      <w:r>
        <w:t xml:space="preserve">.  See </w:t>
      </w:r>
      <w:r w:rsidR="00C952A7">
        <w:t>E</w:t>
      </w:r>
      <w:r w:rsidR="00F4314B">
        <w:t xml:space="preserve">xhibit 1 Cost Analysis.  However, the Temecula </w:t>
      </w:r>
      <w:r w:rsidR="008168F5">
        <w:t xml:space="preserve">plant is currently </w:t>
      </w:r>
      <w:proofErr w:type="gramStart"/>
      <w:r w:rsidR="00F4314B">
        <w:t>innovating</w:t>
      </w:r>
      <w:proofErr w:type="gramEnd"/>
      <w:r w:rsidR="00F4314B">
        <w:t xml:space="preserve"> more efficient strategies for obtaining energy and increasing manufacturing productivity.  T</w:t>
      </w:r>
      <w:r w:rsidR="008168F5">
        <w:t xml:space="preserve">hese </w:t>
      </w:r>
      <w:r w:rsidR="00A06AD0">
        <w:t>ongoing improvements</w:t>
      </w:r>
      <w:r w:rsidR="00F4314B">
        <w:t xml:space="preserve"> will reduce labor and overhead costs per unit while maintaining control of quality and processes in Temecula. </w:t>
      </w:r>
    </w:p>
    <w:p w:rsidR="0099264E" w:rsidRDefault="00A06AD0" w:rsidP="00467902">
      <w:pPr>
        <w:spacing w:before="100" w:beforeAutospacing="1" w:after="100" w:afterAutospacing="1"/>
        <w:jc w:val="both"/>
      </w:pPr>
      <w:r>
        <w:t>As of 2007</w:t>
      </w:r>
      <w:r w:rsidR="00C952A7">
        <w:t>,</w:t>
      </w:r>
      <w:r>
        <w:t xml:space="preserve"> a goal</w:t>
      </w:r>
      <w:r w:rsidR="00C952A7">
        <w:t xml:space="preserve"> was set in place to automate</w:t>
      </w:r>
      <w:r>
        <w:t xml:space="preserve"> the Temecul</w:t>
      </w:r>
      <w:r w:rsidR="00C952A7">
        <w:t>a, CA plant as much as possible</w:t>
      </w:r>
      <w:r>
        <w:t>.  This kind of plant improvement would increase production and quality control far above that of a contract manufacturer who has little incentive to invest in such technologies.  Increased quality control and productivity lead</w:t>
      </w:r>
      <w:r w:rsidR="00071835">
        <w:t>s</w:t>
      </w:r>
      <w:r>
        <w:t xml:space="preserve"> to lower costs and tighter cash flows.</w:t>
      </w:r>
    </w:p>
    <w:p w:rsidR="00A06AD0" w:rsidRDefault="00071835" w:rsidP="00467902">
      <w:pPr>
        <w:spacing w:before="100" w:beforeAutospacing="1" w:after="100" w:afterAutospacing="1"/>
        <w:jc w:val="both"/>
      </w:pPr>
      <w:r>
        <w:t>Maintaining manufacturing in-house also retains the relationship that</w:t>
      </w:r>
      <w:r w:rsidR="00D72456">
        <w:t xml:space="preserve"> Scotts Miracle-</w:t>
      </w:r>
      <w:proofErr w:type="spellStart"/>
      <w:r w:rsidR="00D72456">
        <w:t>Gro</w:t>
      </w:r>
      <w:proofErr w:type="spellEnd"/>
      <w:r w:rsidR="00D72456">
        <w:t xml:space="preserve"> has between </w:t>
      </w:r>
      <w:r>
        <w:t>its manufacturing and R&amp;D departments.  This relationship allows the company to have collaboration between the two areas of expertise which leads to more cost effective methods of designing products for manufacture.</w:t>
      </w:r>
    </w:p>
    <w:p w:rsidR="0099264E" w:rsidRDefault="00F4314B" w:rsidP="00467902">
      <w:pPr>
        <w:spacing w:before="100" w:beforeAutospacing="1" w:after="100" w:afterAutospacing="1"/>
        <w:jc w:val="both"/>
        <w:rPr>
          <w:color w:val="FF0000"/>
        </w:rPr>
      </w:pPr>
      <w:r>
        <w:t>The savings on Chinese labor and electricity are great, but the additional $8 million in transportation costs and $460,000 in</w:t>
      </w:r>
      <w:r w:rsidR="00071835">
        <w:t xml:space="preserve"> required</w:t>
      </w:r>
      <w:r>
        <w:t xml:space="preserve"> yearly safety stock inventory carrying costs quickly diminish the benefits.</w:t>
      </w:r>
      <w:r w:rsidR="008168F5">
        <w:t xml:space="preserve">  The left over savings do not offset the risk</w:t>
      </w:r>
      <w:r w:rsidR="00FA65D0">
        <w:t xml:space="preserve">s </w:t>
      </w:r>
      <w:r w:rsidR="00071835">
        <w:t xml:space="preserve">or sacrifices </w:t>
      </w:r>
      <w:r w:rsidR="00C952A7">
        <w:t>mentioned above.</w:t>
      </w:r>
      <w:r w:rsidR="00934934">
        <w:t xml:space="preserve">  Therefore, Scotts Miracle-</w:t>
      </w:r>
      <w:proofErr w:type="spellStart"/>
      <w:r w:rsidR="00934934">
        <w:t>Gro</w:t>
      </w:r>
      <w:proofErr w:type="spellEnd"/>
      <w:r w:rsidR="00934934">
        <w:t xml:space="preserve"> should stay in the United States at the Temecula plant and should strive to cut costs to stay competitive, below is a list of ways this can be achieved.</w:t>
      </w:r>
    </w:p>
    <w:p w:rsidR="009524E1" w:rsidRDefault="009524E1" w:rsidP="00467902">
      <w:pPr>
        <w:spacing w:before="100" w:beforeAutospacing="1" w:after="100" w:afterAutospacing="1"/>
        <w:jc w:val="both"/>
      </w:pPr>
      <w:r w:rsidRPr="009524E1">
        <w:rPr>
          <w:u w:val="single"/>
        </w:rPr>
        <w:t>Reducing Production Costs</w:t>
      </w:r>
    </w:p>
    <w:p w:rsidR="009524E1" w:rsidRPr="00A31CD5" w:rsidRDefault="003F0D26" w:rsidP="00467902">
      <w:pPr>
        <w:spacing w:before="100" w:beforeAutospacing="1" w:after="100" w:afterAutospacing="1"/>
        <w:jc w:val="both"/>
        <w:rPr>
          <w:i/>
        </w:rPr>
      </w:pPr>
      <w:r w:rsidRPr="00A31CD5">
        <w:rPr>
          <w:i/>
        </w:rPr>
        <w:t>Energy Costs</w:t>
      </w:r>
    </w:p>
    <w:p w:rsidR="00165E00" w:rsidRDefault="00165E00" w:rsidP="00467902">
      <w:pPr>
        <w:spacing w:before="100" w:beforeAutospacing="1" w:after="100" w:afterAutospacing="1"/>
        <w:jc w:val="both"/>
      </w:pPr>
      <w:r>
        <w:t xml:space="preserve">Through research, it has been determined that the location of the Temecula plant in California would be an </w:t>
      </w:r>
      <w:r w:rsidR="00CB6303">
        <w:t>ideal location</w:t>
      </w:r>
      <w:r>
        <w:t xml:space="preserve"> for solar panels technology for the following reasons:</w:t>
      </w:r>
    </w:p>
    <w:p w:rsidR="00165E00" w:rsidRDefault="00165E00" w:rsidP="00467902">
      <w:pPr>
        <w:pStyle w:val="ListParagraph"/>
        <w:numPr>
          <w:ilvl w:val="0"/>
          <w:numId w:val="4"/>
        </w:numPr>
        <w:spacing w:before="100" w:beforeAutospacing="1" w:after="100" w:afterAutospacing="1"/>
        <w:jc w:val="both"/>
      </w:pPr>
      <w:r>
        <w:t>Temecula gets on average only 6 inches of rain per year (versus the US average of 37 inches per year),</w:t>
      </w:r>
    </w:p>
    <w:p w:rsidR="00165E00" w:rsidRDefault="00165E00" w:rsidP="00467902">
      <w:pPr>
        <w:pStyle w:val="ListParagraph"/>
        <w:numPr>
          <w:ilvl w:val="0"/>
          <w:numId w:val="4"/>
        </w:numPr>
        <w:spacing w:before="100" w:beforeAutospacing="1" w:after="100" w:afterAutospacing="1"/>
        <w:jc w:val="both"/>
      </w:pPr>
      <w:r>
        <w:t>Temecula gets an average of  0 inches of snow per year (versus the US average of 25 inches per year), and</w:t>
      </w:r>
    </w:p>
    <w:p w:rsidR="00FB09C8" w:rsidRDefault="00165E00" w:rsidP="00467902">
      <w:pPr>
        <w:pStyle w:val="ListParagraph"/>
        <w:numPr>
          <w:ilvl w:val="0"/>
          <w:numId w:val="4"/>
        </w:numPr>
        <w:spacing w:before="100" w:beforeAutospacing="1" w:after="100" w:afterAutospacing="1"/>
        <w:jc w:val="both"/>
      </w:pPr>
      <w:r>
        <w:t xml:space="preserve">On average, Temecula gets over 276sunny days per year. </w:t>
      </w:r>
    </w:p>
    <w:p w:rsidR="00165E00" w:rsidRDefault="00165E00" w:rsidP="00467902">
      <w:pPr>
        <w:pStyle w:val="ListParagraph"/>
        <w:spacing w:before="100" w:beforeAutospacing="1" w:after="100" w:afterAutospacing="1"/>
        <w:ind w:left="0"/>
        <w:jc w:val="both"/>
      </w:pPr>
      <w:r>
        <w:t>(</w:t>
      </w:r>
      <w:r w:rsidRPr="00A26942">
        <w:t>http://first-time-home-buyer-s.com/temecula-home-loans.htm</w:t>
      </w:r>
      <w:r>
        <w:t>)</w:t>
      </w:r>
    </w:p>
    <w:p w:rsidR="00165E00" w:rsidRDefault="00165E00" w:rsidP="00467902">
      <w:pPr>
        <w:spacing w:before="100" w:beforeAutospacing="1" w:after="100" w:afterAutospacing="1"/>
        <w:jc w:val="both"/>
      </w:pPr>
      <w:r>
        <w:t>This technology has the potential to offset from 100% to 1% of the annual electricity usage.  A cost analysis has been performed for Scotts Miracle-</w:t>
      </w:r>
      <w:proofErr w:type="spellStart"/>
      <w:r>
        <w:t>Gro</w:t>
      </w:r>
      <w:proofErr w:type="spellEnd"/>
      <w:r>
        <w:t xml:space="preserve"> using the location of Temecula, CA and the estimated usage of 8,000,000 kWh’s of electricity per year.  </w:t>
      </w:r>
    </w:p>
    <w:p w:rsidR="00165E00" w:rsidRDefault="00165E00" w:rsidP="00467902">
      <w:pPr>
        <w:spacing w:before="100" w:beforeAutospacing="1" w:after="100" w:afterAutospacing="1"/>
        <w:jc w:val="both"/>
      </w:pPr>
      <w:r>
        <w:t xml:space="preserve">It has been determined that by implementing solar energy panels to offset 50% of the plants annual electricity usage, this will provide the company with the following incentives (please refer to Exhibit </w:t>
      </w:r>
      <w:r w:rsidR="006C3278">
        <w:t>2</w:t>
      </w:r>
      <w:r>
        <w:t xml:space="preserve"> for the full cost analysis):</w:t>
      </w:r>
    </w:p>
    <w:p w:rsidR="00165E00" w:rsidRDefault="00165E00" w:rsidP="00467902">
      <w:pPr>
        <w:pStyle w:val="ListParagraph"/>
        <w:numPr>
          <w:ilvl w:val="0"/>
          <w:numId w:val="5"/>
        </w:numPr>
        <w:spacing w:before="100" w:beforeAutospacing="1" w:after="100" w:afterAutospacing="1"/>
        <w:jc w:val="both"/>
        <w:rPr>
          <w:rStyle w:val="orangetext"/>
        </w:rPr>
      </w:pPr>
      <w:r>
        <w:t xml:space="preserve">An average monthly savings of </w:t>
      </w:r>
      <w:r>
        <w:rPr>
          <w:rStyle w:val="orangetext"/>
        </w:rPr>
        <w:t>$559,600,</w:t>
      </w:r>
    </w:p>
    <w:p w:rsidR="00165E00" w:rsidRDefault="00165E00" w:rsidP="00467902">
      <w:pPr>
        <w:pStyle w:val="ListParagraph"/>
        <w:numPr>
          <w:ilvl w:val="0"/>
          <w:numId w:val="5"/>
        </w:numPr>
        <w:spacing w:before="100" w:beforeAutospacing="1" w:after="100" w:afterAutospacing="1"/>
        <w:jc w:val="both"/>
        <w:rPr>
          <w:rStyle w:val="orangetext"/>
        </w:rPr>
      </w:pPr>
      <w:r>
        <w:rPr>
          <w:rStyle w:val="orangetext"/>
        </w:rPr>
        <w:t>An average 25 year savings of $279,660,603.33,</w:t>
      </w:r>
    </w:p>
    <w:p w:rsidR="00165E00" w:rsidRDefault="00165E00" w:rsidP="00467902">
      <w:pPr>
        <w:pStyle w:val="ListParagraph"/>
        <w:numPr>
          <w:ilvl w:val="0"/>
          <w:numId w:val="5"/>
        </w:numPr>
        <w:spacing w:before="100" w:beforeAutospacing="1" w:after="100" w:afterAutospacing="1"/>
        <w:jc w:val="both"/>
        <w:rPr>
          <w:rStyle w:val="orangetext"/>
        </w:rPr>
      </w:pPr>
      <w:r>
        <w:rPr>
          <w:rStyle w:val="orangetext"/>
        </w:rPr>
        <w:lastRenderedPageBreak/>
        <w:t>A ROI of 215.82%,</w:t>
      </w:r>
    </w:p>
    <w:p w:rsidR="00165E00" w:rsidRDefault="00165E00" w:rsidP="00467902">
      <w:pPr>
        <w:pStyle w:val="ListParagraph"/>
        <w:numPr>
          <w:ilvl w:val="0"/>
          <w:numId w:val="5"/>
        </w:numPr>
        <w:spacing w:before="100" w:beforeAutospacing="1" w:after="100" w:afterAutospacing="1"/>
        <w:jc w:val="both"/>
        <w:rPr>
          <w:rStyle w:val="orangetext"/>
        </w:rPr>
      </w:pPr>
      <w:r>
        <w:rPr>
          <w:rStyle w:val="orangetext"/>
        </w:rPr>
        <w:t>Only a 14.58 breakeven point,</w:t>
      </w:r>
    </w:p>
    <w:p w:rsidR="00165E00" w:rsidRDefault="00165E00" w:rsidP="00467902">
      <w:pPr>
        <w:pStyle w:val="ListParagraph"/>
        <w:numPr>
          <w:ilvl w:val="0"/>
          <w:numId w:val="5"/>
        </w:numPr>
        <w:spacing w:before="100" w:beforeAutospacing="1" w:after="100" w:afterAutospacing="1"/>
        <w:jc w:val="both"/>
      </w:pPr>
      <w:r>
        <w:t>30% Annual Federal Tax Credit, and</w:t>
      </w:r>
    </w:p>
    <w:p w:rsidR="00165E00" w:rsidRDefault="00165E00" w:rsidP="00467902">
      <w:pPr>
        <w:pStyle w:val="ListParagraph"/>
        <w:numPr>
          <w:ilvl w:val="0"/>
          <w:numId w:val="5"/>
        </w:numPr>
        <w:spacing w:before="100" w:beforeAutospacing="1" w:after="100" w:afterAutospacing="1"/>
        <w:jc w:val="both"/>
      </w:pPr>
      <w:r>
        <w:t>The peace of mind knowing that the company is helping offset their carbon emission to prot</w:t>
      </w:r>
      <w:r w:rsidR="00CB6303">
        <w:t>ect our diminishing environment, also creating a good public image.</w:t>
      </w:r>
    </w:p>
    <w:p w:rsidR="0074013F" w:rsidRPr="0074013F" w:rsidRDefault="0074013F" w:rsidP="0074013F">
      <w:pPr>
        <w:spacing w:before="100" w:beforeAutospacing="1" w:after="100" w:afterAutospacing="1"/>
        <w:jc w:val="both"/>
        <w:rPr>
          <w:i/>
        </w:rPr>
      </w:pPr>
      <w:r w:rsidRPr="0074013F">
        <w:rPr>
          <w:i/>
        </w:rPr>
        <w:t>Raw Materials Costs</w:t>
      </w:r>
    </w:p>
    <w:p w:rsidR="0074013F" w:rsidRDefault="0074013F" w:rsidP="0074013F">
      <w:pPr>
        <w:spacing w:before="100" w:beforeAutospacing="1" w:after="100" w:afterAutospacing="1"/>
        <w:jc w:val="both"/>
      </w:pPr>
      <w:r>
        <w:t>In 2006, Scotts Miracle-</w:t>
      </w:r>
      <w:proofErr w:type="spellStart"/>
      <w:r>
        <w:t>Gro</w:t>
      </w:r>
      <w:proofErr w:type="spellEnd"/>
      <w:r>
        <w:t xml:space="preserve"> spent $105.8 million in raw materials, a $28.3 million increase from 2005 (Supply Chain Management, 155).  Although this increase in raw material costs is partly attributed to price inflation, Scotts Miracle-</w:t>
      </w:r>
      <w:proofErr w:type="spellStart"/>
      <w:r>
        <w:t>Gro</w:t>
      </w:r>
      <w:proofErr w:type="spellEnd"/>
      <w:r>
        <w:t xml:space="preserve"> can implement new production processes to save in raw material costs.</w:t>
      </w:r>
    </w:p>
    <w:p w:rsidR="0074013F" w:rsidRPr="0012044F" w:rsidRDefault="0074013F" w:rsidP="0074013F">
      <w:pPr>
        <w:spacing w:before="100" w:beforeAutospacing="1" w:after="100" w:afterAutospacing="1"/>
        <w:jc w:val="both"/>
      </w:pPr>
      <w:r>
        <w:t>The most predominant raw material used by Scotts Miracle-</w:t>
      </w:r>
      <w:proofErr w:type="spellStart"/>
      <w:r>
        <w:t>Gro</w:t>
      </w:r>
      <w:proofErr w:type="spellEnd"/>
      <w:r>
        <w:t xml:space="preserve"> products is plastic resin.  In order to save on costs, the Temecula plant should find ways to reduce material input without changing the quality of the product.  Also, excess plastic resin should be recycled back into the production process.  Not only will this decrease the amount of raw materials used and wasted, but it will also help decrease the disposal cost of used plastic.  </w:t>
      </w:r>
      <w:r w:rsidRPr="00CA63A1">
        <w:t>Lou</w:t>
      </w:r>
      <w:r>
        <w:t xml:space="preserve">is </w:t>
      </w:r>
      <w:proofErr w:type="spellStart"/>
      <w:r>
        <w:t>Leitz</w:t>
      </w:r>
      <w:proofErr w:type="spellEnd"/>
      <w:r>
        <w:t xml:space="preserve"> International GmbH &amp; Company, a producer of office supplies in Germany, was able to save over $296,000 by implementing similar processes in their production of plastic products (</w:t>
      </w:r>
      <w:proofErr w:type="spellStart"/>
      <w:r>
        <w:t>Gege</w:t>
      </w:r>
      <w:proofErr w:type="spellEnd"/>
      <w:r>
        <w:t xml:space="preserve">, 2010).  Another way to save on raw material costs is to establish long-term contracts with plastic injection molding vendors.  This will help offset inflation of plastic prices and eliminate unpredictable price changes in the future.     </w:t>
      </w:r>
    </w:p>
    <w:p w:rsidR="003F0D26" w:rsidRPr="00A31CD5" w:rsidRDefault="00A80818" w:rsidP="00467902">
      <w:pPr>
        <w:spacing w:before="100" w:beforeAutospacing="1" w:after="100" w:afterAutospacing="1"/>
        <w:jc w:val="both"/>
        <w:rPr>
          <w:i/>
        </w:rPr>
      </w:pPr>
      <w:r w:rsidRPr="00A31CD5">
        <w:rPr>
          <w:i/>
        </w:rPr>
        <w:t>Labor Costs</w:t>
      </w:r>
    </w:p>
    <w:p w:rsidR="00A80818" w:rsidRPr="009517BF" w:rsidRDefault="00CB6303" w:rsidP="00467902">
      <w:pPr>
        <w:spacing w:before="100" w:beforeAutospacing="1" w:after="100" w:afterAutospacing="1"/>
        <w:jc w:val="both"/>
        <w:rPr>
          <w:color w:val="FF0000"/>
        </w:rPr>
      </w:pPr>
      <w:r>
        <w:t>The Temecula plant is currently employ</w:t>
      </w:r>
      <w:r w:rsidR="00841254">
        <w:t>ing 195 production line workers, which to</w:t>
      </w:r>
      <w:r w:rsidR="00A20D11">
        <w:t xml:space="preserve">tals to $5,691,000 of labor costs for 2008 </w:t>
      </w:r>
      <w:r w:rsidR="00771CBA">
        <w:t>with an</w:t>
      </w:r>
      <w:r w:rsidR="00304318">
        <w:t xml:space="preserve"> annual increase</w:t>
      </w:r>
      <w:r w:rsidR="00A20D11">
        <w:t xml:space="preserve"> rate</w:t>
      </w:r>
      <w:r w:rsidR="00304318">
        <w:t xml:space="preserve"> of 3 percent</w:t>
      </w:r>
      <w:r w:rsidR="00A20D11">
        <w:t xml:space="preserve"> per worker (Exhibit 1)</w:t>
      </w:r>
      <w:r w:rsidR="00304318">
        <w:t>.</w:t>
      </w:r>
      <w:r w:rsidR="00841254">
        <w:t xml:space="preserve"> </w:t>
      </w:r>
      <w:r w:rsidR="00067AA0">
        <w:t xml:space="preserve"> </w:t>
      </w:r>
      <w:r w:rsidR="00304318">
        <w:t xml:space="preserve">Recent and projected </w:t>
      </w:r>
      <w:r>
        <w:t>innovations in the products and process</w:t>
      </w:r>
      <w:r w:rsidR="00D72456">
        <w:t>es</w:t>
      </w:r>
      <w:r>
        <w:t xml:space="preserve"> are leading to a decrease in the number of production workers needed.</w:t>
      </w:r>
      <w:r w:rsidR="00A20D11">
        <w:t xml:space="preserve"> </w:t>
      </w:r>
      <w:r w:rsidR="00067AA0">
        <w:t xml:space="preserve"> </w:t>
      </w:r>
      <w:r w:rsidR="00A20D11">
        <w:t>Also, p</w:t>
      </w:r>
      <w:r w:rsidR="00771CBA">
        <w:t>roducti</w:t>
      </w:r>
      <w:r w:rsidR="00A20D11">
        <w:t>vity of American workers is</w:t>
      </w:r>
      <w:r w:rsidR="00771CBA">
        <w:t xml:space="preserve"> usually higher than Chinese workers.</w:t>
      </w:r>
      <w:r w:rsidR="00A20D11">
        <w:t xml:space="preserve"> </w:t>
      </w:r>
      <w:r w:rsidR="00067AA0">
        <w:t xml:space="preserve"> </w:t>
      </w:r>
      <w:r w:rsidR="00771CBA">
        <w:t xml:space="preserve">The difference in productivity would </w:t>
      </w:r>
      <w:r w:rsidR="001D17F8">
        <w:t>most likely</w:t>
      </w:r>
      <w:r w:rsidR="00771CBA">
        <w:t xml:space="preserve"> </w:t>
      </w:r>
      <w:r w:rsidR="001D17F8">
        <w:t xml:space="preserve">require </w:t>
      </w:r>
      <w:r w:rsidR="00771CBA">
        <w:t>a higher number</w:t>
      </w:r>
      <w:r w:rsidR="00A20D11">
        <w:t xml:space="preserve"> of</w:t>
      </w:r>
      <w:r w:rsidR="00771CBA">
        <w:t xml:space="preserve"> Chinese workers needed if </w:t>
      </w:r>
      <w:r w:rsidR="001D17F8">
        <w:t>the company outsourced rather than staying in the US</w:t>
      </w:r>
      <w:r w:rsidR="00771CBA">
        <w:t>.</w:t>
      </w:r>
      <w:r w:rsidR="00A20D11">
        <w:t xml:space="preserve"> </w:t>
      </w:r>
      <w:r w:rsidR="00067AA0">
        <w:t xml:space="preserve"> </w:t>
      </w:r>
      <w:r w:rsidR="00A20D11">
        <w:t xml:space="preserve">Even with a bigger workforce of Chinese workers, the total costs of labor would be substantially smaller but it </w:t>
      </w:r>
      <w:r w:rsidR="001D17F8">
        <w:t>is imperative</w:t>
      </w:r>
      <w:r w:rsidR="00A20D11">
        <w:t xml:space="preserve"> to remember that the importance of communication between the workforce and R&amp;D department was a major source of information in the elaboration of improvements of the products and processes. </w:t>
      </w:r>
      <w:r w:rsidR="00067AA0">
        <w:t xml:space="preserve"> </w:t>
      </w:r>
      <w:r w:rsidR="00A20D11">
        <w:t>Outsourcing would probably reduce t</w:t>
      </w:r>
      <w:r w:rsidR="000D1126">
        <w:t xml:space="preserve">his kind of information sharing. </w:t>
      </w:r>
      <w:r w:rsidR="00067AA0">
        <w:t xml:space="preserve"> </w:t>
      </w:r>
      <w:r w:rsidR="000D1126">
        <w:t xml:space="preserve">Keeping the production in the Temecula would also save on the training that would be required if the plant was moved overseas. </w:t>
      </w:r>
      <w:r w:rsidR="00A20D11">
        <w:t xml:space="preserve">   </w:t>
      </w:r>
      <w:r w:rsidR="00771CBA">
        <w:t xml:space="preserve"> </w:t>
      </w:r>
      <w:r w:rsidR="00304318">
        <w:t xml:space="preserve"> </w:t>
      </w:r>
      <w:r w:rsidR="00841254">
        <w:t xml:space="preserve"> </w:t>
      </w:r>
    </w:p>
    <w:p w:rsidR="00700516" w:rsidRDefault="00700516" w:rsidP="00467902">
      <w:pPr>
        <w:jc w:val="both"/>
      </w:pPr>
      <w:r w:rsidRPr="00700516">
        <w:rPr>
          <w:b/>
          <w:sz w:val="28"/>
        </w:rPr>
        <w:t>Implementation</w:t>
      </w:r>
      <w:r w:rsidRPr="00700516">
        <w:rPr>
          <w:sz w:val="28"/>
        </w:rPr>
        <w:t xml:space="preserve"> </w:t>
      </w:r>
      <w:r w:rsidRPr="00700516">
        <w:rPr>
          <w:b/>
          <w:sz w:val="28"/>
        </w:rPr>
        <w:t>Plan</w:t>
      </w:r>
    </w:p>
    <w:p w:rsidR="00E249D6" w:rsidRDefault="00E249D6" w:rsidP="00467902">
      <w:pPr>
        <w:spacing w:before="100" w:beforeAutospacing="1" w:after="100" w:afterAutospacing="1"/>
        <w:jc w:val="both"/>
      </w:pPr>
      <w:r w:rsidRPr="009524E1">
        <w:rPr>
          <w:u w:val="single"/>
        </w:rPr>
        <w:t>Reducing Production Costs</w:t>
      </w:r>
    </w:p>
    <w:p w:rsidR="00E249D6" w:rsidRDefault="00E249D6" w:rsidP="00467902">
      <w:pPr>
        <w:spacing w:before="100" w:beforeAutospacing="1" w:after="100" w:afterAutospacing="1"/>
        <w:jc w:val="both"/>
        <w:rPr>
          <w:i/>
        </w:rPr>
      </w:pPr>
      <w:r w:rsidRPr="00A31CD5">
        <w:rPr>
          <w:i/>
        </w:rPr>
        <w:t>Energy Costs</w:t>
      </w:r>
    </w:p>
    <w:p w:rsidR="00393531" w:rsidRPr="00393531" w:rsidRDefault="00393531" w:rsidP="00467902">
      <w:pPr>
        <w:spacing w:before="100" w:beforeAutospacing="1" w:after="100" w:afterAutospacing="1"/>
        <w:jc w:val="both"/>
      </w:pPr>
      <w:r>
        <w:t xml:space="preserve">Considering the large initial investment of </w:t>
      </w:r>
      <w:r>
        <w:rPr>
          <w:rStyle w:val="orangetext"/>
        </w:rPr>
        <w:t>$185,117,480.49, Scotts Miracle-</w:t>
      </w:r>
      <w:proofErr w:type="spellStart"/>
      <w:r>
        <w:rPr>
          <w:rStyle w:val="orangetext"/>
        </w:rPr>
        <w:t>Gro</w:t>
      </w:r>
      <w:proofErr w:type="spellEnd"/>
      <w:r>
        <w:rPr>
          <w:rStyle w:val="orangetext"/>
        </w:rPr>
        <w:t xml:space="preserve"> should allow approximately 5 years to save for this project.  Once the initial investment has been made, it has been estimated that the breakeven point will be approximately 14.58 years, there will be a 25 year savings of $279,660,603.33, and an ROI of 215.82%.</w:t>
      </w:r>
    </w:p>
    <w:p w:rsidR="00B849F8" w:rsidRDefault="00B849F8" w:rsidP="00467902">
      <w:pPr>
        <w:spacing w:before="100" w:beforeAutospacing="1" w:after="100" w:afterAutospacing="1"/>
        <w:jc w:val="both"/>
        <w:rPr>
          <w:i/>
        </w:rPr>
      </w:pPr>
    </w:p>
    <w:p w:rsidR="008B5D93" w:rsidRPr="00A31CD5" w:rsidRDefault="008B5D93" w:rsidP="008B5D93">
      <w:pPr>
        <w:spacing w:before="100" w:beforeAutospacing="1" w:after="100" w:afterAutospacing="1"/>
        <w:jc w:val="both"/>
        <w:rPr>
          <w:i/>
        </w:rPr>
      </w:pPr>
      <w:r w:rsidRPr="00A31CD5">
        <w:rPr>
          <w:i/>
        </w:rPr>
        <w:lastRenderedPageBreak/>
        <w:t>Raw Materials Costs</w:t>
      </w:r>
    </w:p>
    <w:p w:rsidR="008B5D93" w:rsidRDefault="008B5D93" w:rsidP="008B5D93">
      <w:pPr>
        <w:spacing w:before="100" w:beforeAutospacing="1" w:after="100" w:afterAutospacing="1"/>
        <w:jc w:val="both"/>
      </w:pPr>
      <w:r>
        <w:t xml:space="preserve">As discussed in </w:t>
      </w:r>
      <w:r w:rsidRPr="00C86AEC">
        <w:rPr>
          <w:i/>
        </w:rPr>
        <w:t>Raw Materials</w:t>
      </w:r>
      <w:r>
        <w:t xml:space="preserve"> of the </w:t>
      </w:r>
      <w:r w:rsidRPr="00C86AEC">
        <w:rPr>
          <w:i/>
        </w:rPr>
        <w:t>Analysis</w:t>
      </w:r>
      <w:r>
        <w:t xml:space="preserve"> section, three main ways that the Temecula Plant can save on raw material costs are: 1) decrease material input; 2) recycle excess material; and 3) establish long-term contracts with suppliers.  In order to implement these cost-saving solutions, the first step would be to reconfigure the plastic injection molding process so that less plastic resin is used without changing the quality of the product.  For example, the Spreaders can have a slightly thinner plastic molding.  The next step would be to add a recycling component to the plastic injection molding machine where excess plastic can immediately circulate back into the resin distribution system (Supply Chain Management, 159).  The third step would be to contact plastic vendors and negotiate long-term contract agreements.  This includes price fixations and contract timelines.       </w:t>
      </w:r>
    </w:p>
    <w:p w:rsidR="00E249D6" w:rsidRPr="00A31CD5" w:rsidRDefault="00E249D6" w:rsidP="00467902">
      <w:pPr>
        <w:spacing w:before="100" w:beforeAutospacing="1" w:after="100" w:afterAutospacing="1"/>
        <w:jc w:val="both"/>
        <w:rPr>
          <w:i/>
        </w:rPr>
      </w:pPr>
      <w:r w:rsidRPr="00A31CD5">
        <w:rPr>
          <w:i/>
        </w:rPr>
        <w:t>Labor Costs</w:t>
      </w:r>
    </w:p>
    <w:p w:rsidR="008B5D93" w:rsidRDefault="00304318" w:rsidP="008B5D93">
      <w:pPr>
        <w:spacing w:before="100" w:beforeAutospacing="1" w:after="100" w:afterAutospacing="1"/>
        <w:jc w:val="both"/>
      </w:pPr>
      <w:r w:rsidRPr="00304318">
        <w:t>Increa</w:t>
      </w:r>
      <w:r>
        <w:t xml:space="preserve">sing automation will create </w:t>
      </w:r>
      <w:r w:rsidR="00771CBA">
        <w:t xml:space="preserve">a reduced number of workers needed. In order to keep workers morale, </w:t>
      </w:r>
      <w:r w:rsidR="000D1126">
        <w:t>t</w:t>
      </w:r>
      <w:r w:rsidR="00771CBA">
        <w:t>he reduction</w:t>
      </w:r>
      <w:r w:rsidR="000D1126">
        <w:t xml:space="preserve"> of the workforce</w:t>
      </w:r>
      <w:r w:rsidR="00771CBA">
        <w:t xml:space="preserve"> will be </w:t>
      </w:r>
      <w:r w:rsidR="00A20D11">
        <w:t>generated by workers reduced to part-time status and attrition.</w:t>
      </w:r>
      <w:r w:rsidR="000D1126">
        <w:t xml:space="preserve">   The</w:t>
      </w:r>
      <w:r w:rsidR="00A20D11">
        <w:t xml:space="preserve"> </w:t>
      </w:r>
      <w:r w:rsidR="000D1126">
        <w:t>reduction, equivalent to 30 full time jobs,</w:t>
      </w:r>
      <w:r w:rsidR="00A20D11">
        <w:t xml:space="preserve"> would save the company over 1 million dollars st</w:t>
      </w:r>
      <w:r w:rsidR="000D1126">
        <w:t>arting in 2009, adding up to 12 million for the next ten years.</w:t>
      </w:r>
      <w:r w:rsidR="00A20D11">
        <w:t xml:space="preserve"> </w:t>
      </w:r>
      <w:r w:rsidR="00771CBA">
        <w:t xml:space="preserve">  </w:t>
      </w:r>
    </w:p>
    <w:p w:rsidR="003B0F15" w:rsidRDefault="003B0F15" w:rsidP="008B5D93">
      <w:pPr>
        <w:spacing w:before="100" w:beforeAutospacing="1" w:after="100" w:afterAutospacing="1"/>
        <w:jc w:val="both"/>
        <w:rPr>
          <w:b/>
          <w:sz w:val="28"/>
        </w:rPr>
      </w:pPr>
      <w:r>
        <w:rPr>
          <w:b/>
          <w:sz w:val="28"/>
        </w:rPr>
        <w:br w:type="page"/>
      </w:r>
    </w:p>
    <w:p w:rsidR="00700516" w:rsidRPr="00700516" w:rsidRDefault="00700516" w:rsidP="003F0D26">
      <w:pPr>
        <w:rPr>
          <w:b/>
        </w:rPr>
      </w:pPr>
      <w:r w:rsidRPr="00700516">
        <w:rPr>
          <w:b/>
          <w:sz w:val="28"/>
        </w:rPr>
        <w:lastRenderedPageBreak/>
        <w:t>Appendix</w:t>
      </w:r>
    </w:p>
    <w:p w:rsidR="00700516" w:rsidRDefault="00700516" w:rsidP="003F0D26"/>
    <w:p w:rsidR="00BF642B" w:rsidRPr="004C66BB" w:rsidRDefault="00D4280A">
      <w:pPr>
        <w:rPr>
          <w:i/>
        </w:rPr>
      </w:pPr>
      <w:r w:rsidRPr="004C66BB">
        <w:rPr>
          <w:i/>
        </w:rPr>
        <w:t>Exhibit 1</w:t>
      </w:r>
      <w:r w:rsidR="00BF642B" w:rsidRPr="004C66BB">
        <w:rPr>
          <w:i/>
        </w:rPr>
        <w:t xml:space="preserve"> </w:t>
      </w:r>
    </w:p>
    <w:p w:rsidR="00BF642B" w:rsidRDefault="00BF642B"/>
    <w:p w:rsidR="00A35DC3" w:rsidRDefault="00BF642B">
      <w:r>
        <w:t>Cost Analysis</w:t>
      </w:r>
    </w:p>
    <w:p w:rsidR="00A35DC3" w:rsidRDefault="00A35DC3"/>
    <w:p w:rsidR="005C3EFE" w:rsidRDefault="00A35DC3">
      <w:r w:rsidRPr="00A35DC3">
        <w:rPr>
          <w:noProof/>
        </w:rPr>
        <w:drawing>
          <wp:inline distT="0" distB="0" distL="0" distR="0">
            <wp:extent cx="6388925" cy="4914387"/>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400800" cy="4923521"/>
                    </a:xfrm>
                    <a:prstGeom prst="rect">
                      <a:avLst/>
                    </a:prstGeom>
                    <a:noFill/>
                    <a:ln w="9525">
                      <a:noFill/>
                      <a:miter lim="800000"/>
                      <a:headEnd/>
                      <a:tailEnd/>
                    </a:ln>
                  </pic:spPr>
                </pic:pic>
              </a:graphicData>
            </a:graphic>
          </wp:inline>
        </w:drawing>
      </w:r>
    </w:p>
    <w:p w:rsidR="00A35DC3" w:rsidRDefault="00A35DC3" w:rsidP="003F0D26"/>
    <w:tbl>
      <w:tblPr>
        <w:tblW w:w="10080" w:type="dxa"/>
        <w:tblInd w:w="108" w:type="dxa"/>
        <w:tblLook w:val="04A0"/>
      </w:tblPr>
      <w:tblGrid>
        <w:gridCol w:w="10080"/>
      </w:tblGrid>
      <w:tr w:rsidR="00A35DC3" w:rsidRPr="00A35DC3" w:rsidTr="00970991">
        <w:trPr>
          <w:trHeight w:val="255"/>
        </w:trPr>
        <w:tc>
          <w:tcPr>
            <w:tcW w:w="10080" w:type="dxa"/>
            <w:tcBorders>
              <w:top w:val="nil"/>
              <w:left w:val="nil"/>
              <w:bottom w:val="nil"/>
              <w:right w:val="nil"/>
            </w:tcBorders>
            <w:shd w:val="clear" w:color="auto" w:fill="auto"/>
            <w:noWrap/>
            <w:vAlign w:val="bottom"/>
            <w:hideMark/>
          </w:tcPr>
          <w:p w:rsidR="00A35DC3" w:rsidRPr="00970991" w:rsidRDefault="00A35DC3" w:rsidP="00A35DC3">
            <w:pPr>
              <w:rPr>
                <w:rFonts w:eastAsia="Times New Roman"/>
                <w:color w:val="000000"/>
                <w:szCs w:val="20"/>
              </w:rPr>
            </w:pPr>
            <w:r w:rsidRPr="00970991">
              <w:rPr>
                <w:rFonts w:eastAsia="Times New Roman"/>
                <w:color w:val="000000"/>
                <w:szCs w:val="20"/>
              </w:rPr>
              <w:t>Assumptions:</w:t>
            </w:r>
          </w:p>
          <w:p w:rsidR="00A35DC3" w:rsidRPr="00970991" w:rsidRDefault="00A35DC3" w:rsidP="00A35DC3">
            <w:pPr>
              <w:pStyle w:val="ListParagraph"/>
              <w:numPr>
                <w:ilvl w:val="0"/>
                <w:numId w:val="6"/>
              </w:numPr>
              <w:rPr>
                <w:rFonts w:eastAsia="Times New Roman"/>
                <w:color w:val="000000"/>
                <w:szCs w:val="20"/>
              </w:rPr>
            </w:pPr>
            <w:r w:rsidRPr="00970991">
              <w:rPr>
                <w:rFonts w:eastAsia="Times New Roman"/>
                <w:color w:val="000000"/>
                <w:szCs w:val="20"/>
              </w:rPr>
              <w:t>Company will use the same amount of labor hours in China as it does in Temecula</w:t>
            </w:r>
            <w:r w:rsidR="00AD0AA0" w:rsidRPr="00970991">
              <w:rPr>
                <w:rFonts w:eastAsia="Times New Roman"/>
                <w:color w:val="000000"/>
                <w:szCs w:val="20"/>
              </w:rPr>
              <w:t>.</w:t>
            </w:r>
          </w:p>
        </w:tc>
      </w:tr>
      <w:tr w:rsidR="00A35DC3" w:rsidRPr="00A35DC3" w:rsidTr="00970991">
        <w:trPr>
          <w:trHeight w:val="255"/>
        </w:trPr>
        <w:tc>
          <w:tcPr>
            <w:tcW w:w="10080" w:type="dxa"/>
            <w:tcBorders>
              <w:top w:val="nil"/>
              <w:left w:val="nil"/>
              <w:bottom w:val="nil"/>
              <w:right w:val="nil"/>
            </w:tcBorders>
            <w:shd w:val="clear" w:color="auto" w:fill="auto"/>
            <w:noWrap/>
            <w:vAlign w:val="bottom"/>
            <w:hideMark/>
          </w:tcPr>
          <w:p w:rsidR="00A35DC3" w:rsidRPr="00970991" w:rsidRDefault="00A35DC3" w:rsidP="00A35DC3">
            <w:pPr>
              <w:pStyle w:val="ListParagraph"/>
              <w:numPr>
                <w:ilvl w:val="0"/>
                <w:numId w:val="6"/>
              </w:numPr>
              <w:rPr>
                <w:rFonts w:eastAsia="Times New Roman"/>
                <w:color w:val="000000"/>
                <w:szCs w:val="20"/>
              </w:rPr>
            </w:pPr>
            <w:r w:rsidRPr="00970991">
              <w:rPr>
                <w:rFonts w:eastAsia="Times New Roman"/>
                <w:color w:val="000000"/>
                <w:szCs w:val="20"/>
              </w:rPr>
              <w:t>Company will use the same amount of kilowatt hours in China as it does in Temecula</w:t>
            </w:r>
            <w:r w:rsidR="00AD0AA0" w:rsidRPr="00970991">
              <w:rPr>
                <w:rFonts w:eastAsia="Times New Roman"/>
                <w:color w:val="000000"/>
                <w:szCs w:val="20"/>
              </w:rPr>
              <w:t>.</w:t>
            </w:r>
          </w:p>
        </w:tc>
      </w:tr>
      <w:tr w:rsidR="00A35DC3" w:rsidRPr="00A35DC3" w:rsidTr="00970991">
        <w:trPr>
          <w:trHeight w:val="255"/>
        </w:trPr>
        <w:tc>
          <w:tcPr>
            <w:tcW w:w="10080" w:type="dxa"/>
            <w:tcBorders>
              <w:top w:val="nil"/>
              <w:left w:val="nil"/>
              <w:bottom w:val="nil"/>
              <w:right w:val="nil"/>
            </w:tcBorders>
            <w:shd w:val="clear" w:color="auto" w:fill="auto"/>
            <w:noWrap/>
            <w:vAlign w:val="bottom"/>
            <w:hideMark/>
          </w:tcPr>
          <w:p w:rsidR="00A35DC3" w:rsidRPr="00970991" w:rsidRDefault="00BF642B" w:rsidP="00A35DC3">
            <w:pPr>
              <w:pStyle w:val="ListParagraph"/>
              <w:numPr>
                <w:ilvl w:val="0"/>
                <w:numId w:val="6"/>
              </w:numPr>
              <w:rPr>
                <w:rFonts w:eastAsia="Times New Roman"/>
                <w:color w:val="000000"/>
                <w:szCs w:val="20"/>
              </w:rPr>
            </w:pPr>
            <w:r w:rsidRPr="00970991">
              <w:rPr>
                <w:rFonts w:eastAsia="Times New Roman"/>
                <w:color w:val="000000"/>
                <w:szCs w:val="20"/>
              </w:rPr>
              <w:t>General</w:t>
            </w:r>
            <w:r w:rsidR="00A35DC3" w:rsidRPr="00970991">
              <w:rPr>
                <w:rFonts w:eastAsia="Times New Roman"/>
                <w:color w:val="000000"/>
                <w:szCs w:val="20"/>
              </w:rPr>
              <w:t xml:space="preserve"> Admin Costs assumed to be $500,000 per year.</w:t>
            </w:r>
          </w:p>
        </w:tc>
      </w:tr>
      <w:tr w:rsidR="00A35DC3" w:rsidRPr="00A35DC3" w:rsidTr="00970991">
        <w:trPr>
          <w:trHeight w:val="255"/>
        </w:trPr>
        <w:tc>
          <w:tcPr>
            <w:tcW w:w="10080" w:type="dxa"/>
            <w:tcBorders>
              <w:top w:val="nil"/>
              <w:left w:val="nil"/>
              <w:bottom w:val="nil"/>
              <w:right w:val="nil"/>
            </w:tcBorders>
            <w:shd w:val="clear" w:color="auto" w:fill="auto"/>
            <w:noWrap/>
            <w:vAlign w:val="bottom"/>
            <w:hideMark/>
          </w:tcPr>
          <w:p w:rsidR="00A35DC3" w:rsidRPr="00970991" w:rsidRDefault="00A35DC3" w:rsidP="00A35DC3">
            <w:pPr>
              <w:pStyle w:val="ListParagraph"/>
              <w:numPr>
                <w:ilvl w:val="0"/>
                <w:numId w:val="6"/>
              </w:numPr>
              <w:rPr>
                <w:rFonts w:eastAsia="Times New Roman"/>
                <w:color w:val="000000"/>
                <w:szCs w:val="20"/>
              </w:rPr>
            </w:pPr>
            <w:r w:rsidRPr="00970991">
              <w:rPr>
                <w:rFonts w:eastAsia="Times New Roman"/>
                <w:color w:val="000000"/>
                <w:szCs w:val="20"/>
              </w:rPr>
              <w:t>Costs of closing the Temecula plant and setting up a contract manufacturer in China are unknown.</w:t>
            </w:r>
          </w:p>
        </w:tc>
      </w:tr>
    </w:tbl>
    <w:p w:rsidR="00A35DC3" w:rsidRDefault="00A35DC3" w:rsidP="003F0D26"/>
    <w:p w:rsidR="00A35DC3" w:rsidRDefault="00A35DC3" w:rsidP="003F0D26"/>
    <w:p w:rsidR="00AE0FE9" w:rsidRDefault="00AE0FE9">
      <w:r>
        <w:br w:type="page"/>
      </w:r>
    </w:p>
    <w:p w:rsidR="00700516" w:rsidRPr="004C66BB" w:rsidRDefault="006C3278" w:rsidP="003F0D26">
      <w:pPr>
        <w:rPr>
          <w:i/>
        </w:rPr>
      </w:pPr>
      <w:r w:rsidRPr="004C66BB">
        <w:rPr>
          <w:i/>
        </w:rPr>
        <w:lastRenderedPageBreak/>
        <w:t>Exhibit 2</w:t>
      </w:r>
    </w:p>
    <w:p w:rsidR="00536DC3" w:rsidRDefault="00536DC3" w:rsidP="003F0D26"/>
    <w:p w:rsidR="00536DC3" w:rsidRDefault="00BE3DAF" w:rsidP="003F0D26">
      <w:r>
        <w:rPr>
          <w:u w:val="single"/>
        </w:rPr>
        <w:t>Solar Power Calculator</w:t>
      </w:r>
      <w:r w:rsidR="00171755">
        <w:t xml:space="preserve"> for Temecula, CA provided by: </w:t>
      </w:r>
      <w:r w:rsidR="00171755" w:rsidRPr="00171755">
        <w:t>http://www.pvwatts.org/</w:t>
      </w:r>
    </w:p>
    <w:p w:rsidR="009B1DB2" w:rsidRDefault="009B1DB2" w:rsidP="003F0D26"/>
    <w:tbl>
      <w:tblPr>
        <w:tblStyle w:val="TableGrid"/>
        <w:tblW w:w="0" w:type="auto"/>
        <w:tblInd w:w="108" w:type="dxa"/>
        <w:tblLook w:val="04A0"/>
      </w:tblPr>
      <w:tblGrid>
        <w:gridCol w:w="4338"/>
        <w:gridCol w:w="3330"/>
      </w:tblGrid>
      <w:tr w:rsidR="00BE3DAF" w:rsidTr="00521DFE">
        <w:tc>
          <w:tcPr>
            <w:tcW w:w="4338" w:type="dxa"/>
            <w:vAlign w:val="center"/>
          </w:tcPr>
          <w:p w:rsidR="00BE3DAF" w:rsidRPr="00BE3DAF" w:rsidRDefault="00BE3DAF" w:rsidP="00521DFE">
            <w:pPr>
              <w:rPr>
                <w:b/>
              </w:rPr>
            </w:pPr>
            <w:r w:rsidRPr="00BE3DAF">
              <w:rPr>
                <w:b/>
              </w:rPr>
              <w:t>System Specifications</w:t>
            </w:r>
          </w:p>
        </w:tc>
        <w:tc>
          <w:tcPr>
            <w:tcW w:w="3330" w:type="dxa"/>
            <w:vAlign w:val="center"/>
          </w:tcPr>
          <w:p w:rsidR="00BE3DAF" w:rsidRDefault="00BE3DAF" w:rsidP="00521DFE"/>
        </w:tc>
      </w:tr>
      <w:tr w:rsidR="009B1DB2" w:rsidTr="00521DFE">
        <w:tc>
          <w:tcPr>
            <w:tcW w:w="4338" w:type="dxa"/>
            <w:vAlign w:val="center"/>
          </w:tcPr>
          <w:p w:rsidR="009B1DB2" w:rsidRDefault="009B1DB2" w:rsidP="00521DFE">
            <w:pPr>
              <w:ind w:left="360"/>
            </w:pPr>
            <w:r>
              <w:t>System Specifications For</w:t>
            </w:r>
          </w:p>
        </w:tc>
        <w:tc>
          <w:tcPr>
            <w:tcW w:w="3330" w:type="dxa"/>
            <w:vAlign w:val="center"/>
          </w:tcPr>
          <w:p w:rsidR="009B1DB2" w:rsidRDefault="009B1DB2" w:rsidP="00521DFE">
            <w:r>
              <w:t>Temecula, CA</w:t>
            </w:r>
          </w:p>
        </w:tc>
      </w:tr>
      <w:tr w:rsidR="009B1DB2" w:rsidTr="00521DFE">
        <w:tc>
          <w:tcPr>
            <w:tcW w:w="4338" w:type="dxa"/>
            <w:vAlign w:val="center"/>
          </w:tcPr>
          <w:p w:rsidR="009B1DB2" w:rsidRDefault="009B1DB2" w:rsidP="00521DFE">
            <w:pPr>
              <w:ind w:left="360"/>
            </w:pPr>
            <w:r>
              <w:t>Average Monthly Usage</w:t>
            </w:r>
          </w:p>
        </w:tc>
        <w:tc>
          <w:tcPr>
            <w:tcW w:w="3330" w:type="dxa"/>
            <w:vAlign w:val="center"/>
          </w:tcPr>
          <w:p w:rsidR="009B1DB2" w:rsidRDefault="009B1DB2" w:rsidP="00521DFE">
            <w:r>
              <w:t>8,000,000 kWh/month</w:t>
            </w:r>
          </w:p>
        </w:tc>
      </w:tr>
      <w:tr w:rsidR="009B1DB2" w:rsidTr="00521DFE">
        <w:tc>
          <w:tcPr>
            <w:tcW w:w="4338" w:type="dxa"/>
            <w:vAlign w:val="center"/>
          </w:tcPr>
          <w:p w:rsidR="009B1DB2" w:rsidRDefault="009B1DB2" w:rsidP="00521DFE">
            <w:pPr>
              <w:ind w:left="360"/>
            </w:pPr>
            <w:r>
              <w:t>System Size</w:t>
            </w:r>
          </w:p>
        </w:tc>
        <w:tc>
          <w:tcPr>
            <w:tcW w:w="3330" w:type="dxa"/>
            <w:vAlign w:val="center"/>
          </w:tcPr>
          <w:p w:rsidR="009B1DB2" w:rsidRDefault="009B1DB2" w:rsidP="00521DFE">
            <w:r>
              <w:t>26,445.35 kW</w:t>
            </w:r>
          </w:p>
        </w:tc>
      </w:tr>
      <w:tr w:rsidR="009B1DB2" w:rsidTr="00521DFE">
        <w:tc>
          <w:tcPr>
            <w:tcW w:w="4338" w:type="dxa"/>
            <w:vAlign w:val="center"/>
          </w:tcPr>
          <w:p w:rsidR="009B1DB2" w:rsidRDefault="009B1DB2" w:rsidP="00521DFE">
            <w:pPr>
              <w:ind w:left="360"/>
            </w:pPr>
            <w:r>
              <w:t>Estimated Cost</w:t>
            </w:r>
          </w:p>
        </w:tc>
        <w:tc>
          <w:tcPr>
            <w:tcW w:w="3330" w:type="dxa"/>
            <w:vAlign w:val="center"/>
          </w:tcPr>
          <w:p w:rsidR="009B1DB2" w:rsidRDefault="009B1DB2" w:rsidP="00521DFE">
            <w:r>
              <w:t>$185,117,480.49</w:t>
            </w:r>
          </w:p>
        </w:tc>
      </w:tr>
      <w:tr w:rsidR="009B1DB2" w:rsidTr="00521DFE">
        <w:tc>
          <w:tcPr>
            <w:tcW w:w="4338" w:type="dxa"/>
            <w:vAlign w:val="center"/>
          </w:tcPr>
          <w:p w:rsidR="009B1DB2" w:rsidRPr="00226A4F" w:rsidRDefault="009B1DB2" w:rsidP="00521DFE">
            <w:pPr>
              <w:ind w:left="360"/>
            </w:pPr>
            <w:r>
              <w:t>Post Incentive Cost</w:t>
            </w:r>
          </w:p>
        </w:tc>
        <w:tc>
          <w:tcPr>
            <w:tcW w:w="3330" w:type="dxa"/>
            <w:vAlign w:val="center"/>
          </w:tcPr>
          <w:p w:rsidR="009B1DB2" w:rsidRDefault="00171755" w:rsidP="00521DFE">
            <w:r>
              <w:t>$129, 582,236.34</w:t>
            </w:r>
          </w:p>
        </w:tc>
      </w:tr>
      <w:tr w:rsidR="009B1DB2" w:rsidTr="00521DFE">
        <w:tc>
          <w:tcPr>
            <w:tcW w:w="4338" w:type="dxa"/>
            <w:vAlign w:val="center"/>
          </w:tcPr>
          <w:p w:rsidR="009B1DB2" w:rsidRPr="00BE3DAF" w:rsidRDefault="00BE3DAF" w:rsidP="00521DFE">
            <w:pPr>
              <w:rPr>
                <w:b/>
              </w:rPr>
            </w:pPr>
            <w:r w:rsidRPr="00BE3DAF">
              <w:rPr>
                <w:b/>
              </w:rPr>
              <w:t>Incentives</w:t>
            </w:r>
          </w:p>
        </w:tc>
        <w:tc>
          <w:tcPr>
            <w:tcW w:w="3330" w:type="dxa"/>
            <w:vAlign w:val="center"/>
          </w:tcPr>
          <w:p w:rsidR="009B1DB2" w:rsidRDefault="009B1DB2" w:rsidP="00521DFE"/>
        </w:tc>
      </w:tr>
      <w:tr w:rsidR="009B1DB2" w:rsidTr="00521DFE">
        <w:tc>
          <w:tcPr>
            <w:tcW w:w="4338" w:type="dxa"/>
            <w:vAlign w:val="center"/>
          </w:tcPr>
          <w:p w:rsidR="009B1DB2" w:rsidRDefault="00BE3DAF" w:rsidP="00521DFE">
            <w:pPr>
              <w:ind w:left="360"/>
            </w:pPr>
            <w:r>
              <w:t>Federal Tax Incentives</w:t>
            </w:r>
          </w:p>
        </w:tc>
        <w:tc>
          <w:tcPr>
            <w:tcW w:w="3330" w:type="dxa"/>
            <w:vAlign w:val="center"/>
          </w:tcPr>
          <w:p w:rsidR="009B1DB2" w:rsidRDefault="009B1DB2" w:rsidP="00521DFE"/>
        </w:tc>
      </w:tr>
      <w:tr w:rsidR="00BE3DAF" w:rsidTr="00521DFE">
        <w:tc>
          <w:tcPr>
            <w:tcW w:w="4338" w:type="dxa"/>
            <w:vAlign w:val="center"/>
          </w:tcPr>
          <w:p w:rsidR="00BE3DAF" w:rsidRDefault="00BE3DAF" w:rsidP="00521DFE">
            <w:pPr>
              <w:ind w:left="810"/>
            </w:pPr>
            <w:r>
              <w:t>Tax Cut</w:t>
            </w:r>
          </w:p>
        </w:tc>
        <w:tc>
          <w:tcPr>
            <w:tcW w:w="3330" w:type="dxa"/>
            <w:vAlign w:val="center"/>
          </w:tcPr>
          <w:p w:rsidR="00BE3DAF" w:rsidRDefault="00BE3DAF" w:rsidP="00521DFE">
            <w:r>
              <w:t>30%</w:t>
            </w:r>
          </w:p>
        </w:tc>
      </w:tr>
      <w:tr w:rsidR="00BE3DAF" w:rsidTr="00521DFE">
        <w:tc>
          <w:tcPr>
            <w:tcW w:w="4338" w:type="dxa"/>
            <w:vAlign w:val="center"/>
          </w:tcPr>
          <w:p w:rsidR="00BE3DAF" w:rsidRDefault="00BE3DAF" w:rsidP="00521DFE">
            <w:pPr>
              <w:ind w:left="360"/>
            </w:pPr>
            <w:r>
              <w:t>State Incentives</w:t>
            </w:r>
          </w:p>
        </w:tc>
        <w:tc>
          <w:tcPr>
            <w:tcW w:w="3330" w:type="dxa"/>
            <w:vAlign w:val="center"/>
          </w:tcPr>
          <w:p w:rsidR="00BE3DAF" w:rsidRDefault="00BE3DAF" w:rsidP="00521DFE"/>
        </w:tc>
      </w:tr>
      <w:tr w:rsidR="00BE3DAF" w:rsidTr="00521DFE">
        <w:tc>
          <w:tcPr>
            <w:tcW w:w="4338" w:type="dxa"/>
            <w:vAlign w:val="center"/>
          </w:tcPr>
          <w:p w:rsidR="00BE3DAF" w:rsidRDefault="00BE3DAF" w:rsidP="00521DFE">
            <w:pPr>
              <w:ind w:left="810"/>
            </w:pPr>
            <w:r>
              <w:t>Property Tax</w:t>
            </w:r>
          </w:p>
        </w:tc>
        <w:tc>
          <w:tcPr>
            <w:tcW w:w="3330" w:type="dxa"/>
            <w:vAlign w:val="center"/>
          </w:tcPr>
          <w:p w:rsidR="00BE3DAF" w:rsidRDefault="00BE3DAF" w:rsidP="00521DFE">
            <w:r>
              <w:t>Exempt</w:t>
            </w:r>
          </w:p>
        </w:tc>
      </w:tr>
      <w:tr w:rsidR="00BE3DAF" w:rsidTr="00521DFE">
        <w:tc>
          <w:tcPr>
            <w:tcW w:w="4338" w:type="dxa"/>
            <w:vAlign w:val="center"/>
          </w:tcPr>
          <w:p w:rsidR="00BE3DAF" w:rsidRPr="00BE3DAF" w:rsidRDefault="00BE3DAF" w:rsidP="00521DFE">
            <w:pPr>
              <w:rPr>
                <w:b/>
              </w:rPr>
            </w:pPr>
            <w:r>
              <w:rPr>
                <w:b/>
              </w:rPr>
              <w:t>Savings</w:t>
            </w:r>
          </w:p>
        </w:tc>
        <w:tc>
          <w:tcPr>
            <w:tcW w:w="3330" w:type="dxa"/>
            <w:vAlign w:val="center"/>
          </w:tcPr>
          <w:p w:rsidR="00BE3DAF" w:rsidRDefault="00BE3DAF" w:rsidP="00521DFE"/>
        </w:tc>
      </w:tr>
      <w:tr w:rsidR="00BE3DAF" w:rsidTr="00521DFE">
        <w:tc>
          <w:tcPr>
            <w:tcW w:w="4338" w:type="dxa"/>
            <w:vAlign w:val="center"/>
          </w:tcPr>
          <w:p w:rsidR="00BE3DAF" w:rsidRDefault="00BE3DAF" w:rsidP="00521DFE">
            <w:pPr>
              <w:ind w:left="360"/>
            </w:pPr>
            <w:r>
              <w:t>Estimated Cost</w:t>
            </w:r>
          </w:p>
        </w:tc>
        <w:tc>
          <w:tcPr>
            <w:tcW w:w="3330" w:type="dxa"/>
            <w:vAlign w:val="center"/>
          </w:tcPr>
          <w:p w:rsidR="00BE3DAF" w:rsidRDefault="00BE3DAF" w:rsidP="00521DFE">
            <w:r>
              <w:t>$185,117,480.49</w:t>
            </w:r>
          </w:p>
        </w:tc>
      </w:tr>
      <w:tr w:rsidR="00BE3DAF" w:rsidTr="00521DFE">
        <w:tc>
          <w:tcPr>
            <w:tcW w:w="4338" w:type="dxa"/>
            <w:vAlign w:val="center"/>
          </w:tcPr>
          <w:p w:rsidR="00BE3DAF" w:rsidRDefault="00BE3DAF" w:rsidP="00521DFE">
            <w:pPr>
              <w:ind w:left="360"/>
            </w:pPr>
            <w:r>
              <w:t>Post Incentive Cost</w:t>
            </w:r>
          </w:p>
        </w:tc>
        <w:tc>
          <w:tcPr>
            <w:tcW w:w="3330" w:type="dxa"/>
            <w:vAlign w:val="center"/>
          </w:tcPr>
          <w:p w:rsidR="00BE3DAF" w:rsidRDefault="00BE3DAF" w:rsidP="00521DFE">
            <w:r>
              <w:t>$129,582,236.34</w:t>
            </w:r>
          </w:p>
        </w:tc>
      </w:tr>
      <w:tr w:rsidR="00BE3DAF" w:rsidTr="00521DFE">
        <w:tc>
          <w:tcPr>
            <w:tcW w:w="4338" w:type="dxa"/>
            <w:vAlign w:val="center"/>
          </w:tcPr>
          <w:p w:rsidR="00BE3DAF" w:rsidRDefault="00BE3DAF" w:rsidP="00521DFE">
            <w:pPr>
              <w:ind w:left="360"/>
            </w:pPr>
            <w:r>
              <w:t>Average Monthly Savings</w:t>
            </w:r>
          </w:p>
        </w:tc>
        <w:tc>
          <w:tcPr>
            <w:tcW w:w="3330" w:type="dxa"/>
            <w:vAlign w:val="center"/>
          </w:tcPr>
          <w:p w:rsidR="00BE3DAF" w:rsidRDefault="00BE3DAF" w:rsidP="00521DFE">
            <w:r>
              <w:t>$559,600.00</w:t>
            </w:r>
          </w:p>
        </w:tc>
      </w:tr>
      <w:tr w:rsidR="00BE3DAF" w:rsidTr="00521DFE">
        <w:tc>
          <w:tcPr>
            <w:tcW w:w="4338" w:type="dxa"/>
            <w:vAlign w:val="center"/>
          </w:tcPr>
          <w:p w:rsidR="00BE3DAF" w:rsidRDefault="00BE3DAF" w:rsidP="00521DFE">
            <w:pPr>
              <w:ind w:left="360"/>
            </w:pPr>
            <w:r>
              <w:t>25 Year Savings</w:t>
            </w:r>
          </w:p>
        </w:tc>
        <w:tc>
          <w:tcPr>
            <w:tcW w:w="3330" w:type="dxa"/>
            <w:vAlign w:val="center"/>
          </w:tcPr>
          <w:p w:rsidR="00BE3DAF" w:rsidRDefault="00BE3DAF" w:rsidP="00521DFE">
            <w:r>
              <w:t>$  27,660,603.33</w:t>
            </w:r>
          </w:p>
        </w:tc>
      </w:tr>
      <w:tr w:rsidR="00BE3DAF" w:rsidTr="00521DFE">
        <w:tc>
          <w:tcPr>
            <w:tcW w:w="4338" w:type="dxa"/>
            <w:vAlign w:val="center"/>
          </w:tcPr>
          <w:p w:rsidR="00BE3DAF" w:rsidRDefault="00BE3DAF" w:rsidP="00521DFE">
            <w:pPr>
              <w:ind w:left="360"/>
            </w:pPr>
            <w:r>
              <w:t>Average Savings Per Year (25 Years)</w:t>
            </w:r>
          </w:p>
        </w:tc>
        <w:tc>
          <w:tcPr>
            <w:tcW w:w="3330" w:type="dxa"/>
            <w:vAlign w:val="center"/>
          </w:tcPr>
          <w:p w:rsidR="00BE3DAF" w:rsidRDefault="00BE3DAF" w:rsidP="00521DFE">
            <w:r>
              <w:t>$    1,106,424.13</w:t>
            </w:r>
          </w:p>
        </w:tc>
      </w:tr>
      <w:tr w:rsidR="00BE3DAF" w:rsidTr="00521DFE">
        <w:tc>
          <w:tcPr>
            <w:tcW w:w="4338" w:type="dxa"/>
            <w:vAlign w:val="center"/>
          </w:tcPr>
          <w:p w:rsidR="00BE3DAF" w:rsidRDefault="00BE3DAF" w:rsidP="00521DFE">
            <w:pPr>
              <w:ind w:left="360"/>
            </w:pPr>
            <w:r>
              <w:t>25 Year ROI</w:t>
            </w:r>
          </w:p>
        </w:tc>
        <w:tc>
          <w:tcPr>
            <w:tcW w:w="3330" w:type="dxa"/>
            <w:vAlign w:val="center"/>
          </w:tcPr>
          <w:p w:rsidR="00BE3DAF" w:rsidRDefault="00BE3DAF" w:rsidP="00521DFE">
            <w:pPr>
              <w:tabs>
                <w:tab w:val="left" w:pos="1571"/>
              </w:tabs>
            </w:pPr>
            <w:r>
              <w:t>215.82%</w:t>
            </w:r>
          </w:p>
        </w:tc>
      </w:tr>
      <w:tr w:rsidR="00BE3DAF" w:rsidTr="00521DFE">
        <w:tc>
          <w:tcPr>
            <w:tcW w:w="4338" w:type="dxa"/>
            <w:vAlign w:val="center"/>
          </w:tcPr>
          <w:p w:rsidR="00BE3DAF" w:rsidRDefault="00BE3DAF" w:rsidP="00521DFE">
            <w:pPr>
              <w:ind w:left="360"/>
            </w:pPr>
            <w:r>
              <w:t>Break Even</w:t>
            </w:r>
          </w:p>
        </w:tc>
        <w:tc>
          <w:tcPr>
            <w:tcW w:w="3330" w:type="dxa"/>
            <w:vAlign w:val="center"/>
          </w:tcPr>
          <w:p w:rsidR="00BE3DAF" w:rsidRDefault="00206032" w:rsidP="00521DFE">
            <w:r>
              <w:t>14.58 Years</w:t>
            </w:r>
          </w:p>
        </w:tc>
      </w:tr>
      <w:tr w:rsidR="00BE3DAF" w:rsidTr="00521DFE">
        <w:tc>
          <w:tcPr>
            <w:tcW w:w="4338" w:type="dxa"/>
            <w:vAlign w:val="center"/>
          </w:tcPr>
          <w:p w:rsidR="00BE3DAF" w:rsidRPr="00960A81" w:rsidRDefault="00960A81" w:rsidP="00521DFE">
            <w:pPr>
              <w:rPr>
                <w:b/>
              </w:rPr>
            </w:pPr>
            <w:r>
              <w:rPr>
                <w:b/>
              </w:rPr>
              <w:t>Carbon Emissions</w:t>
            </w:r>
          </w:p>
        </w:tc>
        <w:tc>
          <w:tcPr>
            <w:tcW w:w="3330" w:type="dxa"/>
            <w:vAlign w:val="center"/>
          </w:tcPr>
          <w:p w:rsidR="00BE3DAF" w:rsidRDefault="00BE3DAF" w:rsidP="00521DFE"/>
        </w:tc>
      </w:tr>
      <w:tr w:rsidR="00BE3DAF" w:rsidTr="00521DFE">
        <w:tc>
          <w:tcPr>
            <w:tcW w:w="4338" w:type="dxa"/>
            <w:vAlign w:val="center"/>
          </w:tcPr>
          <w:p w:rsidR="00BE3DAF" w:rsidRDefault="00960A81" w:rsidP="00521DFE">
            <w:pPr>
              <w:ind w:left="360"/>
            </w:pPr>
            <w:r>
              <w:t>Current Annual Emissions</w:t>
            </w:r>
          </w:p>
        </w:tc>
        <w:tc>
          <w:tcPr>
            <w:tcW w:w="3330" w:type="dxa"/>
            <w:vAlign w:val="center"/>
          </w:tcPr>
          <w:p w:rsidR="00BE3DAF" w:rsidRDefault="00017A2B" w:rsidP="00521DFE">
            <w:r>
              <w:t>144,000,000 Pounds Per Year</w:t>
            </w:r>
          </w:p>
        </w:tc>
      </w:tr>
      <w:tr w:rsidR="00960A81" w:rsidTr="00521DFE">
        <w:tc>
          <w:tcPr>
            <w:tcW w:w="4338" w:type="dxa"/>
            <w:vAlign w:val="center"/>
          </w:tcPr>
          <w:p w:rsidR="00960A81" w:rsidRDefault="00960A81" w:rsidP="00521DFE">
            <w:pPr>
              <w:ind w:left="360"/>
            </w:pPr>
            <w:r>
              <w:t>Offset Of Current Emissions</w:t>
            </w:r>
          </w:p>
        </w:tc>
        <w:tc>
          <w:tcPr>
            <w:tcW w:w="3330" w:type="dxa"/>
            <w:vAlign w:val="center"/>
          </w:tcPr>
          <w:p w:rsidR="00960A81" w:rsidRDefault="00960A81" w:rsidP="00521DFE">
            <w:r>
              <w:t>Plant 360,000 Trees Annually</w:t>
            </w:r>
          </w:p>
        </w:tc>
      </w:tr>
    </w:tbl>
    <w:p w:rsidR="009B1DB2" w:rsidRDefault="009B1DB2" w:rsidP="003F0D26"/>
    <w:p w:rsidR="00BF642B" w:rsidRDefault="00BF642B" w:rsidP="003F0D26"/>
    <w:p w:rsidR="000D1126" w:rsidRPr="004C66BB" w:rsidRDefault="000D1126" w:rsidP="003F0D26">
      <w:pPr>
        <w:rPr>
          <w:i/>
        </w:rPr>
      </w:pPr>
      <w:r w:rsidRPr="004C66BB">
        <w:rPr>
          <w:i/>
        </w:rPr>
        <w:t>Exhibit 3</w:t>
      </w:r>
    </w:p>
    <w:p w:rsidR="000D1126" w:rsidRDefault="000D1126" w:rsidP="003F0D26"/>
    <w:p w:rsidR="000D1126" w:rsidRDefault="001127C2" w:rsidP="003F0D26">
      <w:r>
        <w:t xml:space="preserve">Labor Costs </w:t>
      </w:r>
      <w:proofErr w:type="gramStart"/>
      <w:r w:rsidR="00C77D66">
        <w:t>From</w:t>
      </w:r>
      <w:r>
        <w:t xml:space="preserve"> Reducing Workforce After</w:t>
      </w:r>
      <w:proofErr w:type="gramEnd"/>
      <w:r w:rsidR="000D1126">
        <w:t xml:space="preserve"> </w:t>
      </w:r>
      <w:r>
        <w:t>Productivity and A</w:t>
      </w:r>
      <w:r w:rsidR="000D1126">
        <w:t xml:space="preserve">utomation </w:t>
      </w:r>
      <w:r w:rsidR="00C77D66">
        <w:t>I</w:t>
      </w:r>
      <w:r w:rsidR="000D1126">
        <w:t>mprovements</w:t>
      </w:r>
      <w:r w:rsidR="005E4604">
        <w:t xml:space="preserve"> (In </w:t>
      </w:r>
      <w:r w:rsidR="00807895">
        <w:t>Thousands</w:t>
      </w:r>
      <w:r w:rsidR="005E4604">
        <w:t xml:space="preserve"> of $’s</w:t>
      </w:r>
      <w:r w:rsidR="00807895">
        <w:t>)</w:t>
      </w:r>
    </w:p>
    <w:p w:rsidR="00BF642B" w:rsidRPr="00807895" w:rsidRDefault="00BF642B" w:rsidP="003F0D26">
      <w:pPr>
        <w:rPr>
          <w:sz w:val="20"/>
          <w:szCs w:val="20"/>
        </w:rPr>
      </w:pPr>
    </w:p>
    <w:tbl>
      <w:tblPr>
        <w:tblStyle w:val="TableGrid"/>
        <w:tblW w:w="10080" w:type="dxa"/>
        <w:tblInd w:w="108" w:type="dxa"/>
        <w:tblLook w:val="04A0"/>
      </w:tblPr>
      <w:tblGrid>
        <w:gridCol w:w="1530"/>
        <w:gridCol w:w="766"/>
        <w:gridCol w:w="766"/>
        <w:gridCol w:w="766"/>
        <w:gridCol w:w="810"/>
        <w:gridCol w:w="766"/>
        <w:gridCol w:w="810"/>
        <w:gridCol w:w="766"/>
        <w:gridCol w:w="766"/>
        <w:gridCol w:w="766"/>
        <w:gridCol w:w="766"/>
        <w:gridCol w:w="866"/>
      </w:tblGrid>
      <w:tr w:rsidR="002A5BC4" w:rsidRPr="00807895" w:rsidTr="00FC3D55">
        <w:trPr>
          <w:trHeight w:val="300"/>
        </w:trPr>
        <w:tc>
          <w:tcPr>
            <w:tcW w:w="1530" w:type="dxa"/>
            <w:noWrap/>
            <w:vAlign w:val="center"/>
            <w:hideMark/>
          </w:tcPr>
          <w:p w:rsidR="000D1126" w:rsidRPr="00F16767" w:rsidRDefault="005F63DF" w:rsidP="0023725F">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Year</w:t>
            </w:r>
          </w:p>
        </w:tc>
        <w:tc>
          <w:tcPr>
            <w:tcW w:w="766"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2008</w:t>
            </w:r>
          </w:p>
        </w:tc>
        <w:tc>
          <w:tcPr>
            <w:tcW w:w="766"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2009</w:t>
            </w:r>
          </w:p>
        </w:tc>
        <w:tc>
          <w:tcPr>
            <w:tcW w:w="766"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2010</w:t>
            </w:r>
          </w:p>
        </w:tc>
        <w:tc>
          <w:tcPr>
            <w:tcW w:w="810"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2011</w:t>
            </w:r>
          </w:p>
        </w:tc>
        <w:tc>
          <w:tcPr>
            <w:tcW w:w="766"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2012</w:t>
            </w:r>
          </w:p>
        </w:tc>
        <w:tc>
          <w:tcPr>
            <w:tcW w:w="810"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2013</w:t>
            </w:r>
          </w:p>
        </w:tc>
        <w:tc>
          <w:tcPr>
            <w:tcW w:w="766"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2014</w:t>
            </w:r>
          </w:p>
        </w:tc>
        <w:tc>
          <w:tcPr>
            <w:tcW w:w="766"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2015</w:t>
            </w:r>
          </w:p>
        </w:tc>
        <w:tc>
          <w:tcPr>
            <w:tcW w:w="766"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2016</w:t>
            </w:r>
          </w:p>
        </w:tc>
        <w:tc>
          <w:tcPr>
            <w:tcW w:w="766" w:type="dxa"/>
            <w:noWrap/>
            <w:vAlign w:val="center"/>
            <w:hideMark/>
          </w:tcPr>
          <w:p w:rsidR="000D1126" w:rsidRPr="00F16767" w:rsidRDefault="000D1126" w:rsidP="00F16767">
            <w:pPr>
              <w:jc w:val="center"/>
              <w:rPr>
                <w:rFonts w:eastAsia="Times New Roman"/>
                <w:i/>
                <w:color w:val="000000"/>
                <w:sz w:val="20"/>
                <w:szCs w:val="20"/>
                <w:lang w:val="en-CA" w:eastAsia="en-CA"/>
              </w:rPr>
            </w:pPr>
            <w:r w:rsidRPr="00F16767">
              <w:rPr>
                <w:rFonts w:eastAsia="Times New Roman"/>
                <w:i/>
                <w:color w:val="000000"/>
                <w:sz w:val="20"/>
                <w:szCs w:val="20"/>
                <w:lang w:val="en-CA" w:eastAsia="en-CA"/>
              </w:rPr>
              <w:t>2017</w:t>
            </w:r>
          </w:p>
        </w:tc>
        <w:tc>
          <w:tcPr>
            <w:tcW w:w="802" w:type="dxa"/>
            <w:noWrap/>
            <w:vAlign w:val="bottom"/>
            <w:hideMark/>
          </w:tcPr>
          <w:p w:rsidR="000D1126" w:rsidRPr="00F16767" w:rsidRDefault="000D1126" w:rsidP="00F16767">
            <w:pPr>
              <w:rPr>
                <w:rFonts w:eastAsia="Times New Roman"/>
                <w:b/>
                <w:i/>
                <w:color w:val="000000"/>
                <w:sz w:val="20"/>
                <w:szCs w:val="20"/>
                <w:lang w:val="en-CA" w:eastAsia="en-CA"/>
              </w:rPr>
            </w:pPr>
            <w:r w:rsidRPr="00F16767">
              <w:rPr>
                <w:rFonts w:eastAsia="Times New Roman"/>
                <w:b/>
                <w:i/>
                <w:color w:val="000000"/>
                <w:sz w:val="20"/>
                <w:szCs w:val="20"/>
                <w:lang w:val="en-CA" w:eastAsia="en-CA"/>
              </w:rPr>
              <w:t>Total</w:t>
            </w:r>
          </w:p>
        </w:tc>
      </w:tr>
      <w:tr w:rsidR="002A5BC4" w:rsidRPr="00807895" w:rsidTr="00FC3D55">
        <w:trPr>
          <w:trHeight w:val="300"/>
        </w:trPr>
        <w:tc>
          <w:tcPr>
            <w:tcW w:w="1530" w:type="dxa"/>
            <w:noWrap/>
            <w:hideMark/>
          </w:tcPr>
          <w:p w:rsidR="000D1126" w:rsidRPr="00F16767" w:rsidRDefault="000D1126" w:rsidP="000D1126">
            <w:pPr>
              <w:rPr>
                <w:rFonts w:eastAsia="Times New Roman"/>
                <w:i/>
                <w:color w:val="000000"/>
                <w:sz w:val="20"/>
                <w:szCs w:val="20"/>
                <w:lang w:val="en-CA" w:eastAsia="en-CA"/>
              </w:rPr>
            </w:pPr>
            <w:proofErr w:type="spellStart"/>
            <w:r w:rsidRPr="00F16767">
              <w:rPr>
                <w:rFonts w:eastAsia="Times New Roman"/>
                <w:i/>
                <w:color w:val="000000"/>
                <w:sz w:val="20"/>
                <w:szCs w:val="20"/>
                <w:lang w:val="en-CA" w:eastAsia="en-CA"/>
              </w:rPr>
              <w:t>Labor</w:t>
            </w:r>
            <w:proofErr w:type="spellEnd"/>
            <w:r w:rsidR="00D66B84" w:rsidRPr="00F16767">
              <w:rPr>
                <w:rFonts w:eastAsia="Times New Roman"/>
                <w:i/>
                <w:color w:val="000000"/>
                <w:sz w:val="20"/>
                <w:szCs w:val="20"/>
                <w:lang w:val="en-CA" w:eastAsia="en-CA"/>
              </w:rPr>
              <w:t xml:space="preserve"> Cost</w:t>
            </w:r>
            <w:r w:rsidRPr="00F16767">
              <w:rPr>
                <w:rFonts w:eastAsia="Times New Roman"/>
                <w:i/>
                <w:color w:val="000000"/>
                <w:sz w:val="20"/>
                <w:szCs w:val="20"/>
                <w:lang w:val="en-CA" w:eastAsia="en-CA"/>
              </w:rPr>
              <w:t xml:space="preserve"> </w:t>
            </w:r>
            <w:r w:rsidR="00D66B84" w:rsidRPr="00F16767">
              <w:rPr>
                <w:rFonts w:eastAsia="Times New Roman"/>
                <w:i/>
                <w:color w:val="000000"/>
                <w:sz w:val="20"/>
                <w:szCs w:val="20"/>
                <w:lang w:val="en-CA" w:eastAsia="en-CA"/>
              </w:rPr>
              <w:t xml:space="preserve">For </w:t>
            </w:r>
            <w:r w:rsidRPr="00F16767">
              <w:rPr>
                <w:rFonts w:eastAsia="Times New Roman"/>
                <w:i/>
                <w:color w:val="000000"/>
                <w:sz w:val="20"/>
                <w:szCs w:val="20"/>
                <w:lang w:val="en-CA" w:eastAsia="en-CA"/>
              </w:rPr>
              <w:t xml:space="preserve">195 workers </w:t>
            </w:r>
          </w:p>
        </w:tc>
        <w:tc>
          <w:tcPr>
            <w:tcW w:w="766" w:type="dxa"/>
            <w:noWrap/>
            <w:vAlign w:val="center"/>
            <w:hideMark/>
          </w:tcPr>
          <w:p w:rsidR="000D1126" w:rsidRPr="00807895" w:rsidRDefault="004D4A32" w:rsidP="004D4A32">
            <w:pPr>
              <w:jc w:val="center"/>
              <w:rPr>
                <w:rFonts w:eastAsia="Times New Roman"/>
                <w:color w:val="000000"/>
                <w:sz w:val="20"/>
                <w:szCs w:val="20"/>
                <w:lang w:val="en-CA" w:eastAsia="en-CA"/>
              </w:rPr>
            </w:pPr>
            <w:r>
              <w:rPr>
                <w:rFonts w:eastAsia="Times New Roman"/>
                <w:color w:val="000000"/>
                <w:sz w:val="20"/>
                <w:szCs w:val="20"/>
                <w:lang w:val="en-CA" w:eastAsia="en-CA"/>
              </w:rPr>
              <w:t>$</w:t>
            </w:r>
            <w:r w:rsidR="000D1126" w:rsidRPr="00807895">
              <w:rPr>
                <w:rFonts w:eastAsia="Times New Roman"/>
                <w:color w:val="000000"/>
                <w:sz w:val="20"/>
                <w:szCs w:val="20"/>
                <w:lang w:val="en-CA" w:eastAsia="en-CA"/>
              </w:rPr>
              <w:t>6,591</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w:t>
            </w:r>
            <w:r w:rsidR="004D4A32">
              <w:rPr>
                <w:rFonts w:eastAsia="Times New Roman"/>
                <w:color w:val="000000"/>
                <w:sz w:val="20"/>
                <w:szCs w:val="20"/>
                <w:lang w:val="en-CA" w:eastAsia="en-CA"/>
              </w:rPr>
              <w:t>6</w:t>
            </w:r>
            <w:r w:rsidRPr="00807895">
              <w:rPr>
                <w:rFonts w:eastAsia="Times New Roman"/>
                <w:color w:val="000000"/>
                <w:sz w:val="20"/>
                <w:szCs w:val="20"/>
                <w:lang w:val="en-CA" w:eastAsia="en-CA"/>
              </w:rPr>
              <w:t>,788</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w:t>
            </w:r>
            <w:r w:rsidR="004D4A32">
              <w:rPr>
                <w:rFonts w:eastAsia="Times New Roman"/>
                <w:color w:val="000000"/>
                <w:sz w:val="20"/>
                <w:szCs w:val="20"/>
                <w:lang w:val="en-CA" w:eastAsia="en-CA"/>
              </w:rPr>
              <w:t>6</w:t>
            </w:r>
            <w:r w:rsidRPr="00807895">
              <w:rPr>
                <w:rFonts w:eastAsia="Times New Roman"/>
                <w:color w:val="000000"/>
                <w:sz w:val="20"/>
                <w:szCs w:val="20"/>
                <w:lang w:val="en-CA" w:eastAsia="en-CA"/>
              </w:rPr>
              <w:t>,992</w:t>
            </w:r>
          </w:p>
        </w:tc>
        <w:tc>
          <w:tcPr>
            <w:tcW w:w="810"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$7,202</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$7,418</w:t>
            </w:r>
          </w:p>
        </w:tc>
        <w:tc>
          <w:tcPr>
            <w:tcW w:w="810"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$7,640</w:t>
            </w:r>
          </w:p>
        </w:tc>
        <w:tc>
          <w:tcPr>
            <w:tcW w:w="766" w:type="dxa"/>
            <w:noWrap/>
            <w:vAlign w:val="center"/>
            <w:hideMark/>
          </w:tcPr>
          <w:p w:rsidR="000D1126" w:rsidRPr="00807895" w:rsidRDefault="004D4A32" w:rsidP="004D4A32">
            <w:pPr>
              <w:jc w:val="center"/>
              <w:rPr>
                <w:rFonts w:eastAsia="Times New Roman"/>
                <w:color w:val="000000"/>
                <w:sz w:val="20"/>
                <w:szCs w:val="20"/>
                <w:lang w:val="en-CA" w:eastAsia="en-CA"/>
              </w:rPr>
            </w:pPr>
            <w:r>
              <w:rPr>
                <w:rFonts w:eastAsia="Times New Roman"/>
                <w:color w:val="000000"/>
                <w:sz w:val="20"/>
                <w:szCs w:val="20"/>
                <w:lang w:val="en-CA" w:eastAsia="en-CA"/>
              </w:rPr>
              <w:t>$</w:t>
            </w:r>
            <w:r w:rsidR="000D1126" w:rsidRPr="00807895">
              <w:rPr>
                <w:rFonts w:eastAsia="Times New Roman"/>
                <w:color w:val="000000"/>
                <w:sz w:val="20"/>
                <w:szCs w:val="20"/>
                <w:lang w:val="en-CA" w:eastAsia="en-CA"/>
              </w:rPr>
              <w:t>7,869</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$8,106</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$8,349</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$8,599</w:t>
            </w:r>
          </w:p>
        </w:tc>
        <w:tc>
          <w:tcPr>
            <w:tcW w:w="802" w:type="dxa"/>
            <w:noWrap/>
            <w:vAlign w:val="center"/>
            <w:hideMark/>
          </w:tcPr>
          <w:p w:rsidR="000D1126" w:rsidRPr="00F16767" w:rsidRDefault="000D1126" w:rsidP="00F16767">
            <w:pPr>
              <w:rPr>
                <w:rFonts w:eastAsia="Times New Roman"/>
                <w:b/>
                <w:color w:val="000000"/>
                <w:sz w:val="20"/>
                <w:szCs w:val="20"/>
                <w:lang w:val="en-CA" w:eastAsia="en-CA"/>
              </w:rPr>
            </w:pPr>
            <w:r w:rsidRPr="00F16767">
              <w:rPr>
                <w:rFonts w:eastAsia="Times New Roman"/>
                <w:b/>
                <w:color w:val="000000"/>
                <w:sz w:val="20"/>
                <w:szCs w:val="20"/>
                <w:lang w:val="en-CA" w:eastAsia="en-CA"/>
              </w:rPr>
              <w:t>$75,558</w:t>
            </w:r>
          </w:p>
        </w:tc>
      </w:tr>
      <w:tr w:rsidR="002A5BC4" w:rsidRPr="00807895" w:rsidTr="00FC3D55">
        <w:trPr>
          <w:trHeight w:val="300"/>
        </w:trPr>
        <w:tc>
          <w:tcPr>
            <w:tcW w:w="1530" w:type="dxa"/>
            <w:noWrap/>
            <w:hideMark/>
          </w:tcPr>
          <w:p w:rsidR="000D1126" w:rsidRPr="00F16767" w:rsidRDefault="000D1126" w:rsidP="000D1126">
            <w:pPr>
              <w:rPr>
                <w:rFonts w:eastAsia="Times New Roman"/>
                <w:i/>
                <w:color w:val="000000"/>
                <w:sz w:val="20"/>
                <w:szCs w:val="20"/>
                <w:lang w:val="en-CA" w:eastAsia="en-CA"/>
              </w:rPr>
            </w:pPr>
            <w:r w:rsidRPr="00F16767">
              <w:rPr>
                <w:rFonts w:eastAsia="Times New Roman"/>
                <w:i/>
                <w:color w:val="000000"/>
                <w:sz w:val="20"/>
                <w:szCs w:val="20"/>
                <w:lang w:val="en-CA" w:eastAsia="en-CA"/>
              </w:rPr>
              <w:t xml:space="preserve"> </w:t>
            </w:r>
            <w:proofErr w:type="spellStart"/>
            <w:r w:rsidRPr="00F16767">
              <w:rPr>
                <w:rFonts w:eastAsia="Times New Roman"/>
                <w:i/>
                <w:color w:val="000000"/>
                <w:sz w:val="20"/>
                <w:szCs w:val="20"/>
                <w:lang w:val="en-CA" w:eastAsia="en-CA"/>
              </w:rPr>
              <w:t>Labor</w:t>
            </w:r>
            <w:proofErr w:type="spellEnd"/>
            <w:r w:rsidRPr="00F16767">
              <w:rPr>
                <w:rFonts w:eastAsia="Times New Roman"/>
                <w:i/>
                <w:color w:val="000000"/>
                <w:sz w:val="20"/>
                <w:szCs w:val="20"/>
                <w:lang w:val="en-CA" w:eastAsia="en-CA"/>
              </w:rPr>
              <w:t xml:space="preserve"> </w:t>
            </w:r>
            <w:r w:rsidR="00D66B84" w:rsidRPr="00F16767">
              <w:rPr>
                <w:rFonts w:eastAsia="Times New Roman"/>
                <w:i/>
                <w:color w:val="000000"/>
                <w:sz w:val="20"/>
                <w:szCs w:val="20"/>
                <w:lang w:val="en-CA" w:eastAsia="en-CA"/>
              </w:rPr>
              <w:t xml:space="preserve">Cost For </w:t>
            </w:r>
            <w:r w:rsidRPr="00F16767">
              <w:rPr>
                <w:rFonts w:eastAsia="Times New Roman"/>
                <w:i/>
                <w:color w:val="000000"/>
                <w:sz w:val="20"/>
                <w:szCs w:val="20"/>
                <w:lang w:val="en-CA" w:eastAsia="en-CA"/>
              </w:rPr>
              <w:t xml:space="preserve">165 workers </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$5,577</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$5,744</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$5,916</w:t>
            </w:r>
          </w:p>
        </w:tc>
        <w:tc>
          <w:tcPr>
            <w:tcW w:w="810"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$6,094</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$6,276</w:t>
            </w:r>
          </w:p>
        </w:tc>
        <w:tc>
          <w:tcPr>
            <w:tcW w:w="810"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$6,465</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$6,659</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$6,859</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$7,064</w:t>
            </w:r>
          </w:p>
        </w:tc>
        <w:tc>
          <w:tcPr>
            <w:tcW w:w="766" w:type="dxa"/>
            <w:noWrap/>
            <w:vAlign w:val="center"/>
            <w:hideMark/>
          </w:tcPr>
          <w:p w:rsidR="000D1126" w:rsidRPr="00807895" w:rsidRDefault="000D1126" w:rsidP="004D4A32">
            <w:pPr>
              <w:jc w:val="center"/>
              <w:rPr>
                <w:rFonts w:eastAsia="Times New Roman"/>
                <w:color w:val="000000"/>
                <w:sz w:val="20"/>
                <w:szCs w:val="20"/>
                <w:lang w:val="en-CA" w:eastAsia="en-CA"/>
              </w:rPr>
            </w:pPr>
            <w:r w:rsidRPr="00807895">
              <w:rPr>
                <w:rFonts w:eastAsia="Times New Roman"/>
                <w:color w:val="000000"/>
                <w:sz w:val="20"/>
                <w:szCs w:val="20"/>
                <w:lang w:val="en-CA" w:eastAsia="en-CA"/>
              </w:rPr>
              <w:t>$7,276</w:t>
            </w:r>
          </w:p>
        </w:tc>
        <w:tc>
          <w:tcPr>
            <w:tcW w:w="802" w:type="dxa"/>
            <w:noWrap/>
            <w:vAlign w:val="center"/>
            <w:hideMark/>
          </w:tcPr>
          <w:p w:rsidR="000D1126" w:rsidRPr="00F16767" w:rsidRDefault="000D1126" w:rsidP="00F16767">
            <w:pPr>
              <w:rPr>
                <w:rFonts w:eastAsia="Times New Roman"/>
                <w:b/>
                <w:color w:val="000000"/>
                <w:sz w:val="20"/>
                <w:szCs w:val="20"/>
                <w:lang w:val="en-CA" w:eastAsia="en-CA"/>
              </w:rPr>
            </w:pPr>
            <w:r w:rsidRPr="00F16767">
              <w:rPr>
                <w:rFonts w:eastAsia="Times New Roman"/>
                <w:b/>
                <w:color w:val="000000"/>
                <w:sz w:val="20"/>
                <w:szCs w:val="20"/>
                <w:lang w:val="en-CA" w:eastAsia="en-CA"/>
              </w:rPr>
              <w:t>$63,934</w:t>
            </w:r>
          </w:p>
        </w:tc>
      </w:tr>
    </w:tbl>
    <w:p w:rsidR="005A1A36" w:rsidRDefault="005A1A36">
      <w:pPr>
        <w:rPr>
          <w:b/>
          <w:sz w:val="28"/>
        </w:rPr>
      </w:pPr>
      <w:r>
        <w:rPr>
          <w:b/>
          <w:sz w:val="28"/>
        </w:rPr>
        <w:br w:type="page"/>
      </w:r>
    </w:p>
    <w:p w:rsidR="000D1126" w:rsidRDefault="000D1126">
      <w:pPr>
        <w:rPr>
          <w:b/>
          <w:sz w:val="28"/>
        </w:rPr>
      </w:pPr>
    </w:p>
    <w:p w:rsidR="00700516" w:rsidRPr="00700516" w:rsidRDefault="00700516" w:rsidP="003F0D26">
      <w:pPr>
        <w:rPr>
          <w:b/>
        </w:rPr>
      </w:pPr>
      <w:r w:rsidRPr="00700516">
        <w:rPr>
          <w:b/>
          <w:sz w:val="28"/>
        </w:rPr>
        <w:t>Citations</w:t>
      </w:r>
    </w:p>
    <w:p w:rsidR="003C0B43" w:rsidRDefault="003C0B43"/>
    <w:p w:rsidR="00AA5DB5" w:rsidRDefault="00AA5DB5" w:rsidP="00AA5DB5">
      <w:pPr>
        <w:ind w:left="720" w:hanging="720"/>
      </w:pPr>
      <w:r w:rsidRPr="00AA5DB5">
        <w:t>"Scotts Miracle-</w:t>
      </w:r>
      <w:proofErr w:type="spellStart"/>
      <w:r w:rsidRPr="00AA5DB5">
        <w:t>Gro</w:t>
      </w:r>
      <w:proofErr w:type="spellEnd"/>
      <w:r w:rsidRPr="00AA5DB5">
        <w:t xml:space="preserve">: The Spreader Sourcing Decision." Supply Chain Management. </w:t>
      </w:r>
      <w:proofErr w:type="gramStart"/>
      <w:r w:rsidRPr="00AA5DB5">
        <w:t>McGraw-Hill, 2010.</w:t>
      </w:r>
      <w:proofErr w:type="gramEnd"/>
      <w:r w:rsidRPr="00AA5DB5">
        <w:t xml:space="preserve"> </w:t>
      </w:r>
      <w:proofErr w:type="gramStart"/>
      <w:r w:rsidRPr="00AA5DB5">
        <w:t>149-59. Print.</w:t>
      </w:r>
      <w:proofErr w:type="gramEnd"/>
    </w:p>
    <w:p w:rsidR="00AA5DB5" w:rsidRDefault="00AA5DB5"/>
    <w:p w:rsidR="003C0B43" w:rsidRDefault="00AA5DB5" w:rsidP="00AA5DB5">
      <w:pPr>
        <w:ind w:left="720" w:hanging="720"/>
      </w:pPr>
      <w:r w:rsidRPr="00AA5DB5">
        <w:t xml:space="preserve">"Six Typical Cost Reduction </w:t>
      </w:r>
      <w:proofErr w:type="gramStart"/>
      <w:r w:rsidRPr="00AA5DB5">
        <w:t>Examples :</w:t>
      </w:r>
      <w:proofErr w:type="gramEnd"/>
      <w:r w:rsidRPr="00AA5DB5">
        <w:t xml:space="preserve"> Raw Materials and Supplies; Water and Waste Water; Energy; Waste Management; Transport and Travel; and Packaging." </w:t>
      </w:r>
      <w:proofErr w:type="gramStart"/>
      <w:r w:rsidRPr="00AA5DB5">
        <w:t>Costkiller.net :</w:t>
      </w:r>
      <w:proofErr w:type="gramEnd"/>
      <w:r w:rsidRPr="00AA5DB5">
        <w:t xml:space="preserve"> Cost Cutting, Costs Savings, Cost Killing B2B Portal. </w:t>
      </w:r>
      <w:proofErr w:type="gramStart"/>
      <w:r w:rsidRPr="00AA5DB5">
        <w:t>Web.</w:t>
      </w:r>
      <w:proofErr w:type="gramEnd"/>
      <w:r w:rsidRPr="00AA5DB5">
        <w:t xml:space="preserve"> 07 Sept. 2010. &lt;http://costkiller.net/tribune/best-six-saving-Six-typical-cost-reduction-examples-raw-materials-and-supplies-wate-and-waste-water-energy-waste-managemen-transport-and-travel-and-packaging.htm&gt;.</w:t>
      </w:r>
    </w:p>
    <w:p w:rsidR="00536DC3" w:rsidRDefault="00536DC3" w:rsidP="00AA5DB5">
      <w:pPr>
        <w:ind w:left="720" w:hanging="720"/>
      </w:pPr>
    </w:p>
    <w:p w:rsidR="00DF4174" w:rsidRDefault="00D73240" w:rsidP="00AA5DB5">
      <w:pPr>
        <w:ind w:left="720" w:hanging="720"/>
      </w:pPr>
      <w:proofErr w:type="gramStart"/>
      <w:r>
        <w:rPr>
          <w:i/>
          <w:iCs/>
        </w:rPr>
        <w:t xml:space="preserve">The </w:t>
      </w:r>
      <w:proofErr w:type="spellStart"/>
      <w:r>
        <w:rPr>
          <w:i/>
          <w:iCs/>
        </w:rPr>
        <w:t>PVWatts</w:t>
      </w:r>
      <w:proofErr w:type="spellEnd"/>
      <w:r>
        <w:rPr>
          <w:i/>
          <w:iCs/>
        </w:rPr>
        <w:t xml:space="preserve"> Solar Calculator</w:t>
      </w:r>
      <w:r>
        <w:t>.</w:t>
      </w:r>
      <w:proofErr w:type="gramEnd"/>
      <w:r>
        <w:t xml:space="preserve"> </w:t>
      </w:r>
      <w:proofErr w:type="spellStart"/>
      <w:proofErr w:type="gramStart"/>
      <w:r>
        <w:t>N.p</w:t>
      </w:r>
      <w:proofErr w:type="spellEnd"/>
      <w:proofErr w:type="gramEnd"/>
      <w:r>
        <w:t xml:space="preserve">., </w:t>
      </w:r>
      <w:proofErr w:type="spellStart"/>
      <w:r>
        <w:t>n.d</w:t>
      </w:r>
      <w:proofErr w:type="spellEnd"/>
      <w:r>
        <w:t>. Web. 7 Sept. 2010. &lt;http://www.pvwatts.org/&gt;.</w:t>
      </w:r>
    </w:p>
    <w:p w:rsidR="00DF4174" w:rsidRDefault="00DF4174" w:rsidP="00AA5DB5">
      <w:pPr>
        <w:ind w:left="720" w:hanging="720"/>
      </w:pPr>
    </w:p>
    <w:p w:rsidR="00D73240" w:rsidRDefault="00DF00D3" w:rsidP="00AA5DB5">
      <w:pPr>
        <w:ind w:left="720" w:hanging="720"/>
      </w:pPr>
      <w:r>
        <w:t xml:space="preserve">"Temecula Home </w:t>
      </w:r>
      <w:proofErr w:type="gramStart"/>
      <w:r>
        <w:t>Loans ."</w:t>
      </w:r>
      <w:proofErr w:type="gramEnd"/>
      <w:r>
        <w:t xml:space="preserve"> </w:t>
      </w:r>
      <w:proofErr w:type="gramStart"/>
      <w:r>
        <w:rPr>
          <w:i/>
          <w:iCs/>
        </w:rPr>
        <w:t>First Time Home Buyer</w:t>
      </w:r>
      <w:r>
        <w:t>.</w:t>
      </w:r>
      <w:proofErr w:type="gramEnd"/>
      <w:r>
        <w:t xml:space="preserve"> </w:t>
      </w:r>
      <w:proofErr w:type="gramStart"/>
      <w:r>
        <w:t xml:space="preserve">First-Time-Home-Buyer-s, </w:t>
      </w:r>
      <w:proofErr w:type="spellStart"/>
      <w:r>
        <w:t>n.d</w:t>
      </w:r>
      <w:proofErr w:type="spellEnd"/>
      <w:r>
        <w:t>. Web.</w:t>
      </w:r>
      <w:proofErr w:type="gramEnd"/>
      <w:r>
        <w:t xml:space="preserve"> 7 Sept. 2010. &lt;http://first-time-home-buyer-s.com/temecula-home-loans.htm&gt;.</w:t>
      </w:r>
    </w:p>
    <w:sectPr w:rsidR="00D73240" w:rsidSect="005C3EFE">
      <w:pgSz w:w="12240" w:h="15840"/>
      <w:pgMar w:top="1080" w:right="1080" w:bottom="108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2B7B"/>
    <w:multiLevelType w:val="hybridMultilevel"/>
    <w:tmpl w:val="E76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60EA7"/>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3C2080"/>
    <w:multiLevelType w:val="hybridMultilevel"/>
    <w:tmpl w:val="200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B2E0D"/>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257E40"/>
    <w:multiLevelType w:val="hybridMultilevel"/>
    <w:tmpl w:val="5E0C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24FD4"/>
    <w:multiLevelType w:val="hybridMultilevel"/>
    <w:tmpl w:val="891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3C0B43"/>
    <w:rsid w:val="000044B4"/>
    <w:rsid w:val="00017A2B"/>
    <w:rsid w:val="00021D92"/>
    <w:rsid w:val="00055B81"/>
    <w:rsid w:val="00067AA0"/>
    <w:rsid w:val="00071835"/>
    <w:rsid w:val="000A1256"/>
    <w:rsid w:val="000D1126"/>
    <w:rsid w:val="001127C2"/>
    <w:rsid w:val="0012044F"/>
    <w:rsid w:val="001655AE"/>
    <w:rsid w:val="00165E00"/>
    <w:rsid w:val="001677F0"/>
    <w:rsid w:val="00171755"/>
    <w:rsid w:val="001D17F8"/>
    <w:rsid w:val="001E30F2"/>
    <w:rsid w:val="001E5DBC"/>
    <w:rsid w:val="00206032"/>
    <w:rsid w:val="00211F93"/>
    <w:rsid w:val="0021404E"/>
    <w:rsid w:val="00214979"/>
    <w:rsid w:val="00226A4F"/>
    <w:rsid w:val="0023725F"/>
    <w:rsid w:val="0025685D"/>
    <w:rsid w:val="00266DD3"/>
    <w:rsid w:val="002676AE"/>
    <w:rsid w:val="002822AE"/>
    <w:rsid w:val="00283F75"/>
    <w:rsid w:val="00285463"/>
    <w:rsid w:val="002A5BC4"/>
    <w:rsid w:val="00304318"/>
    <w:rsid w:val="003402F6"/>
    <w:rsid w:val="00344435"/>
    <w:rsid w:val="00350F2A"/>
    <w:rsid w:val="003724A0"/>
    <w:rsid w:val="003725CA"/>
    <w:rsid w:val="00393531"/>
    <w:rsid w:val="00393E1B"/>
    <w:rsid w:val="003B0F15"/>
    <w:rsid w:val="003C0B43"/>
    <w:rsid w:val="003C5519"/>
    <w:rsid w:val="003F0D26"/>
    <w:rsid w:val="003F3796"/>
    <w:rsid w:val="004463F7"/>
    <w:rsid w:val="00457E5F"/>
    <w:rsid w:val="00461407"/>
    <w:rsid w:val="00467902"/>
    <w:rsid w:val="00473D58"/>
    <w:rsid w:val="004C66BB"/>
    <w:rsid w:val="004D4A32"/>
    <w:rsid w:val="004E60BF"/>
    <w:rsid w:val="00521DFE"/>
    <w:rsid w:val="00536DC3"/>
    <w:rsid w:val="00557B72"/>
    <w:rsid w:val="005A1A36"/>
    <w:rsid w:val="005C3EFE"/>
    <w:rsid w:val="005E4604"/>
    <w:rsid w:val="005F63DF"/>
    <w:rsid w:val="0060735C"/>
    <w:rsid w:val="006841C1"/>
    <w:rsid w:val="006B1E60"/>
    <w:rsid w:val="006B2A97"/>
    <w:rsid w:val="006C3278"/>
    <w:rsid w:val="00700516"/>
    <w:rsid w:val="00701922"/>
    <w:rsid w:val="00717E92"/>
    <w:rsid w:val="0074013F"/>
    <w:rsid w:val="00771CBA"/>
    <w:rsid w:val="00777AB1"/>
    <w:rsid w:val="00803407"/>
    <w:rsid w:val="00807895"/>
    <w:rsid w:val="008168F5"/>
    <w:rsid w:val="00841254"/>
    <w:rsid w:val="00860ED5"/>
    <w:rsid w:val="008B5D93"/>
    <w:rsid w:val="008E6E03"/>
    <w:rsid w:val="0092779E"/>
    <w:rsid w:val="00934934"/>
    <w:rsid w:val="009517BF"/>
    <w:rsid w:val="009524E1"/>
    <w:rsid w:val="00960A81"/>
    <w:rsid w:val="00970991"/>
    <w:rsid w:val="00985D70"/>
    <w:rsid w:val="0099264E"/>
    <w:rsid w:val="009926FE"/>
    <w:rsid w:val="009B1DB2"/>
    <w:rsid w:val="009E55E9"/>
    <w:rsid w:val="00A024A6"/>
    <w:rsid w:val="00A06AD0"/>
    <w:rsid w:val="00A20D11"/>
    <w:rsid w:val="00A228F3"/>
    <w:rsid w:val="00A26942"/>
    <w:rsid w:val="00A31CD5"/>
    <w:rsid w:val="00A35CE0"/>
    <w:rsid w:val="00A35DC3"/>
    <w:rsid w:val="00A80818"/>
    <w:rsid w:val="00A90A0F"/>
    <w:rsid w:val="00AA5DB5"/>
    <w:rsid w:val="00AD0AA0"/>
    <w:rsid w:val="00AE0FE9"/>
    <w:rsid w:val="00AE6811"/>
    <w:rsid w:val="00B0683D"/>
    <w:rsid w:val="00B217B0"/>
    <w:rsid w:val="00B23421"/>
    <w:rsid w:val="00B264B1"/>
    <w:rsid w:val="00B3102B"/>
    <w:rsid w:val="00B41530"/>
    <w:rsid w:val="00B44345"/>
    <w:rsid w:val="00B46694"/>
    <w:rsid w:val="00B849F8"/>
    <w:rsid w:val="00B91449"/>
    <w:rsid w:val="00BA2499"/>
    <w:rsid w:val="00BB2811"/>
    <w:rsid w:val="00BE3DAF"/>
    <w:rsid w:val="00BF642B"/>
    <w:rsid w:val="00C35EEF"/>
    <w:rsid w:val="00C45A84"/>
    <w:rsid w:val="00C63B9B"/>
    <w:rsid w:val="00C77D66"/>
    <w:rsid w:val="00C86AEC"/>
    <w:rsid w:val="00C952A7"/>
    <w:rsid w:val="00CA63A1"/>
    <w:rsid w:val="00CB6303"/>
    <w:rsid w:val="00CF1443"/>
    <w:rsid w:val="00D01827"/>
    <w:rsid w:val="00D23BB2"/>
    <w:rsid w:val="00D4280A"/>
    <w:rsid w:val="00D62BBD"/>
    <w:rsid w:val="00D66B84"/>
    <w:rsid w:val="00D72456"/>
    <w:rsid w:val="00D73240"/>
    <w:rsid w:val="00DA6020"/>
    <w:rsid w:val="00DB6588"/>
    <w:rsid w:val="00DC6D92"/>
    <w:rsid w:val="00DF00D3"/>
    <w:rsid w:val="00DF4174"/>
    <w:rsid w:val="00E116B0"/>
    <w:rsid w:val="00E249D6"/>
    <w:rsid w:val="00E50AF2"/>
    <w:rsid w:val="00E50AF5"/>
    <w:rsid w:val="00E514AC"/>
    <w:rsid w:val="00E61F5A"/>
    <w:rsid w:val="00E84727"/>
    <w:rsid w:val="00EA05A9"/>
    <w:rsid w:val="00EB2DB6"/>
    <w:rsid w:val="00F16767"/>
    <w:rsid w:val="00F372B3"/>
    <w:rsid w:val="00F4314B"/>
    <w:rsid w:val="00F94776"/>
    <w:rsid w:val="00FA65D0"/>
    <w:rsid w:val="00FB09C8"/>
    <w:rsid w:val="00FC3D55"/>
    <w:rsid w:val="00FD02D0"/>
    <w:rsid w:val="00FE45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webSettings.xml><?xml version="1.0" encoding="utf-8"?>
<w:webSettings xmlns:r="http://schemas.openxmlformats.org/officeDocument/2006/relationships" xmlns:w="http://schemas.openxmlformats.org/wordprocessingml/2006/main">
  <w:divs>
    <w:div w:id="174928281">
      <w:bodyDiv w:val="1"/>
      <w:marLeft w:val="0"/>
      <w:marRight w:val="0"/>
      <w:marTop w:val="0"/>
      <w:marBottom w:val="0"/>
      <w:divBdr>
        <w:top w:val="none" w:sz="0" w:space="0" w:color="auto"/>
        <w:left w:val="none" w:sz="0" w:space="0" w:color="auto"/>
        <w:bottom w:val="none" w:sz="0" w:space="0" w:color="auto"/>
        <w:right w:val="none" w:sz="0" w:space="0" w:color="auto"/>
      </w:divBdr>
    </w:div>
    <w:div w:id="176385663">
      <w:bodyDiv w:val="1"/>
      <w:marLeft w:val="0"/>
      <w:marRight w:val="0"/>
      <w:marTop w:val="0"/>
      <w:marBottom w:val="0"/>
      <w:divBdr>
        <w:top w:val="none" w:sz="0" w:space="0" w:color="auto"/>
        <w:left w:val="none" w:sz="0" w:space="0" w:color="auto"/>
        <w:bottom w:val="none" w:sz="0" w:space="0" w:color="auto"/>
        <w:right w:val="none" w:sz="0" w:space="0" w:color="auto"/>
      </w:divBdr>
    </w:div>
    <w:div w:id="372577131">
      <w:bodyDiv w:val="1"/>
      <w:marLeft w:val="0"/>
      <w:marRight w:val="0"/>
      <w:marTop w:val="0"/>
      <w:marBottom w:val="0"/>
      <w:divBdr>
        <w:top w:val="none" w:sz="0" w:space="0" w:color="auto"/>
        <w:left w:val="none" w:sz="0" w:space="0" w:color="auto"/>
        <w:bottom w:val="none" w:sz="0" w:space="0" w:color="auto"/>
        <w:right w:val="none" w:sz="0" w:space="0" w:color="auto"/>
      </w:divBdr>
    </w:div>
    <w:div w:id="1011296994">
      <w:bodyDiv w:val="1"/>
      <w:marLeft w:val="0"/>
      <w:marRight w:val="0"/>
      <w:marTop w:val="0"/>
      <w:marBottom w:val="0"/>
      <w:divBdr>
        <w:top w:val="none" w:sz="0" w:space="0" w:color="auto"/>
        <w:left w:val="none" w:sz="0" w:space="0" w:color="auto"/>
        <w:bottom w:val="none" w:sz="0" w:space="0" w:color="auto"/>
        <w:right w:val="none" w:sz="0" w:space="0" w:color="auto"/>
      </w:divBdr>
    </w:div>
    <w:div w:id="1197936134">
      <w:bodyDiv w:val="1"/>
      <w:marLeft w:val="0"/>
      <w:marRight w:val="0"/>
      <w:marTop w:val="0"/>
      <w:marBottom w:val="0"/>
      <w:divBdr>
        <w:top w:val="none" w:sz="0" w:space="0" w:color="auto"/>
        <w:left w:val="none" w:sz="0" w:space="0" w:color="auto"/>
        <w:bottom w:val="none" w:sz="0" w:space="0" w:color="auto"/>
        <w:right w:val="none" w:sz="0" w:space="0" w:color="auto"/>
      </w:divBdr>
    </w:div>
    <w:div w:id="1228684536">
      <w:bodyDiv w:val="1"/>
      <w:marLeft w:val="0"/>
      <w:marRight w:val="0"/>
      <w:marTop w:val="0"/>
      <w:marBottom w:val="0"/>
      <w:divBdr>
        <w:top w:val="none" w:sz="0" w:space="0" w:color="auto"/>
        <w:left w:val="none" w:sz="0" w:space="0" w:color="auto"/>
        <w:bottom w:val="none" w:sz="0" w:space="0" w:color="auto"/>
        <w:right w:val="none" w:sz="0" w:space="0" w:color="auto"/>
      </w:divBdr>
    </w:div>
    <w:div w:id="1391076451">
      <w:bodyDiv w:val="1"/>
      <w:marLeft w:val="0"/>
      <w:marRight w:val="0"/>
      <w:marTop w:val="0"/>
      <w:marBottom w:val="0"/>
      <w:divBdr>
        <w:top w:val="none" w:sz="0" w:space="0" w:color="auto"/>
        <w:left w:val="none" w:sz="0" w:space="0" w:color="auto"/>
        <w:bottom w:val="none" w:sz="0" w:space="0" w:color="auto"/>
        <w:right w:val="none" w:sz="0" w:space="0" w:color="auto"/>
      </w:divBdr>
    </w:div>
    <w:div w:id="1435319749">
      <w:bodyDiv w:val="1"/>
      <w:marLeft w:val="0"/>
      <w:marRight w:val="0"/>
      <w:marTop w:val="0"/>
      <w:marBottom w:val="0"/>
      <w:divBdr>
        <w:top w:val="none" w:sz="0" w:space="0" w:color="auto"/>
        <w:left w:val="none" w:sz="0" w:space="0" w:color="auto"/>
        <w:bottom w:val="none" w:sz="0" w:space="0" w:color="auto"/>
        <w:right w:val="none" w:sz="0" w:space="0" w:color="auto"/>
      </w:divBdr>
      <w:divsChild>
        <w:div w:id="800850589">
          <w:marLeft w:val="0"/>
          <w:marRight w:val="0"/>
          <w:marTop w:val="0"/>
          <w:marBottom w:val="0"/>
          <w:divBdr>
            <w:top w:val="none" w:sz="0" w:space="0" w:color="auto"/>
            <w:left w:val="none" w:sz="0" w:space="0" w:color="auto"/>
            <w:bottom w:val="none" w:sz="0" w:space="0" w:color="auto"/>
            <w:right w:val="none" w:sz="0" w:space="0" w:color="auto"/>
          </w:divBdr>
          <w:divsChild>
            <w:div w:id="946961341">
              <w:marLeft w:val="0"/>
              <w:marRight w:val="0"/>
              <w:marTop w:val="0"/>
              <w:marBottom w:val="0"/>
              <w:divBdr>
                <w:top w:val="none" w:sz="0" w:space="0" w:color="auto"/>
                <w:left w:val="none" w:sz="0" w:space="0" w:color="auto"/>
                <w:bottom w:val="none" w:sz="0" w:space="0" w:color="auto"/>
                <w:right w:val="none" w:sz="0" w:space="0" w:color="auto"/>
              </w:divBdr>
              <w:divsChild>
                <w:div w:id="423652434">
                  <w:marLeft w:val="0"/>
                  <w:marRight w:val="0"/>
                  <w:marTop w:val="0"/>
                  <w:marBottom w:val="0"/>
                  <w:divBdr>
                    <w:top w:val="none" w:sz="0" w:space="0" w:color="auto"/>
                    <w:left w:val="none" w:sz="0" w:space="0" w:color="auto"/>
                    <w:bottom w:val="none" w:sz="0" w:space="0" w:color="auto"/>
                    <w:right w:val="none" w:sz="0" w:space="0" w:color="auto"/>
                  </w:divBdr>
                  <w:divsChild>
                    <w:div w:id="1105734506">
                      <w:marLeft w:val="0"/>
                      <w:marRight w:val="0"/>
                      <w:marTop w:val="0"/>
                      <w:marBottom w:val="0"/>
                      <w:divBdr>
                        <w:top w:val="none" w:sz="0" w:space="0" w:color="auto"/>
                        <w:left w:val="none" w:sz="0" w:space="0" w:color="auto"/>
                        <w:bottom w:val="none" w:sz="0" w:space="0" w:color="auto"/>
                        <w:right w:val="none" w:sz="0" w:space="0" w:color="auto"/>
                      </w:divBdr>
                      <w:divsChild>
                        <w:div w:id="1905220336">
                          <w:marLeft w:val="0"/>
                          <w:marRight w:val="0"/>
                          <w:marTop w:val="0"/>
                          <w:marBottom w:val="0"/>
                          <w:divBdr>
                            <w:top w:val="single" w:sz="6" w:space="2" w:color="1060AC"/>
                            <w:left w:val="single" w:sz="6" w:space="2" w:color="1060AC"/>
                            <w:bottom w:val="single" w:sz="6" w:space="2" w:color="1060AC"/>
                            <w:right w:val="single" w:sz="6" w:space="2" w:color="1060AC"/>
                          </w:divBdr>
                          <w:divsChild>
                            <w:div w:id="1618756926">
                              <w:marLeft w:val="72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996">
      <w:bodyDiv w:val="1"/>
      <w:marLeft w:val="0"/>
      <w:marRight w:val="0"/>
      <w:marTop w:val="0"/>
      <w:marBottom w:val="0"/>
      <w:divBdr>
        <w:top w:val="none" w:sz="0" w:space="0" w:color="auto"/>
        <w:left w:val="none" w:sz="0" w:space="0" w:color="auto"/>
        <w:bottom w:val="none" w:sz="0" w:space="0" w:color="auto"/>
        <w:right w:val="none" w:sz="0" w:space="0" w:color="auto"/>
      </w:divBdr>
    </w:div>
    <w:div w:id="1559785998">
      <w:bodyDiv w:val="1"/>
      <w:marLeft w:val="0"/>
      <w:marRight w:val="0"/>
      <w:marTop w:val="0"/>
      <w:marBottom w:val="0"/>
      <w:divBdr>
        <w:top w:val="none" w:sz="0" w:space="0" w:color="auto"/>
        <w:left w:val="none" w:sz="0" w:space="0" w:color="auto"/>
        <w:bottom w:val="none" w:sz="0" w:space="0" w:color="auto"/>
        <w:right w:val="none" w:sz="0" w:space="0" w:color="auto"/>
      </w:divBdr>
    </w:div>
    <w:div w:id="18495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2010-09-07T00:00:00</PublishDate>
  <Abstract>SCMers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Scotts Miracle-Gro</vt:lpstr>
    </vt:vector>
  </TitlesOfParts>
  <Company>Hewlett-Packard</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 Miracle-Gro</dc:title>
  <dc:subject>Instructor: Sachin Modi</dc:subject>
  <dc:creator>6 September 2010, Fall 2010</dc:creator>
  <cp:lastModifiedBy>Meagan Frances</cp:lastModifiedBy>
  <cp:revision>32</cp:revision>
  <cp:lastPrinted>2010-09-07T19:19:00Z</cp:lastPrinted>
  <dcterms:created xsi:type="dcterms:W3CDTF">2010-09-08T16:01:00Z</dcterms:created>
  <dcterms:modified xsi:type="dcterms:W3CDTF">2010-10-13T23:47:00Z</dcterms:modified>
</cp:coreProperties>
</file>