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lang w:eastAsia="zh-TW"/>
        </w:rPr>
        <w:id w:val="89260029"/>
        <w:docPartObj>
          <w:docPartGallery w:val="Cover Pages"/>
          <w:docPartUnique/>
        </w:docPartObj>
      </w:sdtPr>
      <w:sdtEndPr>
        <w:rPr>
          <w:rFonts w:ascii="Times New Roman" w:eastAsiaTheme="minorEastAsia" w:hAnsi="Times New Roman" w:cs="Times New Roman"/>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049"/>
            <w:gridCol w:w="3639"/>
            <w:gridCol w:w="2824"/>
          </w:tblGrid>
          <w:tr w:rsidR="00B3102B">
            <w:sdt>
              <w:sdtPr>
                <w:rPr>
                  <w:rFonts w:asciiTheme="majorHAnsi" w:eastAsiaTheme="majorEastAsia" w:hAnsiTheme="majorHAnsi" w:cstheme="majorBidi"/>
                  <w:sz w:val="76"/>
                  <w:szCs w:val="72"/>
                  <w:lang w:eastAsia="zh-TW"/>
                </w:rPr>
                <w:alias w:val="Title"/>
                <w:id w:val="276713177"/>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B3102B" w:rsidRDefault="00CC3D16" w:rsidP="00CC3D16">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Applichem</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0-11-08T00:00:00Z">
                    <w:dateFormat w:val="MMMM d"/>
                    <w:lid w:val="en-US"/>
                    <w:storeMappedDataAs w:val="dateTime"/>
                    <w:calendar w:val="gregorian"/>
                  </w:date>
                </w:sdtPr>
                <w:sdtContent>
                  <w:p w:rsidR="00B3102B" w:rsidRDefault="00253E6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November 8</w:t>
                    </w:r>
                  </w:p>
                </w:sdtContent>
              </w:sdt>
              <w:p w:rsidR="00B3102B" w:rsidRDefault="00B3102B" w:rsidP="00B3102B">
                <w:pPr>
                  <w:pStyle w:val="NoSpacing"/>
                  <w:rPr>
                    <w:color w:val="4F81BD" w:themeColor="accent1"/>
                    <w:sz w:val="200"/>
                    <w:szCs w:val="200"/>
                  </w:rPr>
                </w:pPr>
                <w:r w:rsidRPr="00B3102B">
                  <w:rPr>
                    <w:color w:val="4F81BD" w:themeColor="accent1"/>
                    <w:sz w:val="96"/>
                    <w:szCs w:val="200"/>
                  </w:rPr>
                  <w:t>BUAD 6600</w:t>
                </w:r>
              </w:p>
            </w:tc>
          </w:tr>
          <w:tr w:rsidR="00B3102B">
            <w:tc>
              <w:tcPr>
                <w:tcW w:w="7054" w:type="dxa"/>
                <w:gridSpan w:val="2"/>
                <w:tcBorders>
                  <w:top w:val="single" w:sz="18" w:space="0" w:color="808080" w:themeColor="background1" w:themeShade="80"/>
                </w:tcBorders>
                <w:vAlign w:val="center"/>
              </w:tcPr>
              <w:sdt>
                <w:sdtPr>
                  <w:rPr>
                    <w:b/>
                  </w:rPr>
                  <w:alias w:val="Abstract"/>
                  <w:id w:val="276713183"/>
                  <w:dataBinding w:prefixMappings="xmlns:ns0='http://schemas.microsoft.com/office/2006/coverPageProps'" w:xpath="/ns0:CoverPageProperties[1]/ns0:Abstract[1]" w:storeItemID="{55AF091B-3C7A-41E3-B477-F2FDAA23CFDA}"/>
                  <w:text/>
                </w:sdtPr>
                <w:sdtContent>
                  <w:p w:rsidR="00B3102B" w:rsidRDefault="00FE452F" w:rsidP="001677F0">
                    <w:pPr>
                      <w:pStyle w:val="NoSpacing"/>
                      <w:ind w:left="540"/>
                    </w:pPr>
                    <w:proofErr w:type="spellStart"/>
                    <w:r w:rsidRPr="001677F0">
                      <w:rPr>
                        <w:b/>
                      </w:rPr>
                      <w:t>SCMers</w:t>
                    </w:r>
                    <w:proofErr w:type="spellEnd"/>
                  </w:p>
                </w:sdtContent>
              </w:sdt>
              <w:p w:rsidR="00F372B3" w:rsidRDefault="00F372B3" w:rsidP="00F372B3">
                <w:pPr>
                  <w:pStyle w:val="NoSpacing"/>
                </w:pPr>
                <w:r>
                  <w:t>Meagan Frances Ayers</w:t>
                </w:r>
              </w:p>
              <w:p w:rsidR="00F372B3" w:rsidRDefault="00F372B3" w:rsidP="00FE452F">
                <w:pPr>
                  <w:pStyle w:val="NoSpacing"/>
                </w:pPr>
                <w:r>
                  <w:t>James Franks</w:t>
                </w:r>
              </w:p>
              <w:p w:rsidR="00F372B3" w:rsidRDefault="00F372B3" w:rsidP="00FE452F">
                <w:pPr>
                  <w:pStyle w:val="NoSpacing"/>
                </w:pPr>
                <w:r>
                  <w:t>Emelie Hall</w:t>
                </w:r>
              </w:p>
              <w:p w:rsidR="00D72456" w:rsidRDefault="00D72456" w:rsidP="00D72456">
                <w:pPr>
                  <w:pStyle w:val="NoSpacing"/>
                </w:pPr>
                <w:r>
                  <w:t>Jean-Hubert Trahan</w:t>
                </w:r>
              </w:p>
              <w:p w:rsidR="00D72456" w:rsidRDefault="00D72456" w:rsidP="00FE452F">
                <w:pPr>
                  <w:pStyle w:val="NoSpacing"/>
                </w:pPr>
              </w:p>
            </w:tc>
            <w:sdt>
              <w:sdtPr>
                <w:rPr>
                  <w:color w:val="4F81BD" w:themeColor="accent1"/>
                  <w:sz w:val="48"/>
                  <w:szCs w:val="200"/>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B3102B" w:rsidRDefault="00DB6588" w:rsidP="00B3102B">
                    <w:pPr>
                      <w:pStyle w:val="NoSpacing"/>
                      <w:rPr>
                        <w:rFonts w:asciiTheme="majorHAnsi" w:eastAsiaTheme="majorEastAsia" w:hAnsiTheme="majorHAnsi" w:cstheme="majorBidi"/>
                        <w:sz w:val="36"/>
                        <w:szCs w:val="36"/>
                      </w:rPr>
                    </w:pPr>
                    <w:r>
                      <w:rPr>
                        <w:color w:val="4F81BD" w:themeColor="accent1"/>
                        <w:sz w:val="48"/>
                        <w:szCs w:val="200"/>
                      </w:rPr>
                      <w:t xml:space="preserve">Instructor: </w:t>
                    </w:r>
                    <w:proofErr w:type="spellStart"/>
                    <w:r w:rsidR="00B3102B" w:rsidRPr="00B3102B">
                      <w:rPr>
                        <w:color w:val="4F81BD" w:themeColor="accent1"/>
                        <w:sz w:val="48"/>
                        <w:szCs w:val="200"/>
                      </w:rPr>
                      <w:t>Sachin</w:t>
                    </w:r>
                    <w:proofErr w:type="spellEnd"/>
                    <w:r w:rsidR="00B3102B" w:rsidRPr="00B3102B">
                      <w:rPr>
                        <w:color w:val="4F81BD" w:themeColor="accent1"/>
                        <w:sz w:val="48"/>
                        <w:szCs w:val="200"/>
                      </w:rPr>
                      <w:t xml:space="preserve"> </w:t>
                    </w:r>
                    <w:proofErr w:type="spellStart"/>
                    <w:r w:rsidR="00B3102B" w:rsidRPr="00B3102B">
                      <w:rPr>
                        <w:color w:val="4F81BD" w:themeColor="accent1"/>
                        <w:sz w:val="48"/>
                        <w:szCs w:val="200"/>
                      </w:rPr>
                      <w:t>Modi</w:t>
                    </w:r>
                    <w:proofErr w:type="spellEnd"/>
                  </w:p>
                </w:tc>
              </w:sdtContent>
            </w:sdt>
          </w:tr>
        </w:tbl>
        <w:p w:rsidR="00FE452F" w:rsidRDefault="001A791D" w:rsidP="003F0D26"/>
      </w:sdtContent>
    </w:sdt>
    <w:p w:rsidR="001655AE" w:rsidRPr="00FE452F" w:rsidRDefault="00700516" w:rsidP="00467902">
      <w:pPr>
        <w:jc w:val="both"/>
      </w:pPr>
      <w:r>
        <w:br w:type="page"/>
      </w:r>
      <w:r w:rsidR="003C0B43" w:rsidRPr="00700516">
        <w:rPr>
          <w:b/>
          <w:sz w:val="28"/>
        </w:rPr>
        <w:lastRenderedPageBreak/>
        <w:t>Objective/Scope</w:t>
      </w:r>
    </w:p>
    <w:p w:rsidR="003C0B43" w:rsidRDefault="003C0B43" w:rsidP="00467902">
      <w:pPr>
        <w:jc w:val="both"/>
      </w:pPr>
    </w:p>
    <w:p w:rsidR="00D07628" w:rsidRDefault="001E5DBC" w:rsidP="00467902">
      <w:pPr>
        <w:jc w:val="both"/>
      </w:pPr>
      <w:r>
        <w:t xml:space="preserve">The purpose of this </w:t>
      </w:r>
      <w:r w:rsidR="007F55B3">
        <w:t>article is to determine</w:t>
      </w:r>
      <w:r w:rsidR="0069644C">
        <w:t xml:space="preserve"> whether or not Applichem should </w:t>
      </w:r>
      <w:r w:rsidR="003E32AD">
        <w:t xml:space="preserve">keep their production of Release-Ease </w:t>
      </w:r>
      <w:r w:rsidR="00417897">
        <w:t>with</w:t>
      </w:r>
      <w:r w:rsidR="003E32AD">
        <w:t xml:space="preserve">in </w:t>
      </w:r>
      <w:r w:rsidR="00C36E86">
        <w:t>the</w:t>
      </w:r>
      <w:r w:rsidR="00417897">
        <w:t>ir</w:t>
      </w:r>
      <w:r w:rsidR="00C36E86">
        <w:t xml:space="preserve"> current plant</w:t>
      </w:r>
      <w:r w:rsidR="00417897">
        <w:t>s</w:t>
      </w:r>
      <w:r w:rsidR="003E32AD">
        <w:t xml:space="preserve"> or move </w:t>
      </w:r>
      <w:r w:rsidR="0069644C">
        <w:t>production to another location</w:t>
      </w:r>
      <w:r w:rsidR="00B22EA4">
        <w:t xml:space="preserve">.  This </w:t>
      </w:r>
      <w:r w:rsidR="005F58AC">
        <w:t>new</w:t>
      </w:r>
      <w:r w:rsidR="00B22EA4">
        <w:t xml:space="preserve"> location would be one</w:t>
      </w:r>
      <w:r w:rsidR="00BA7861">
        <w:t>,</w:t>
      </w:r>
      <w:r w:rsidR="00B22EA4">
        <w:t xml:space="preserve"> or more</w:t>
      </w:r>
      <w:r w:rsidR="00BA7861">
        <w:t>,</w:t>
      </w:r>
      <w:r w:rsidR="00B22EA4">
        <w:t xml:space="preserve"> of </w:t>
      </w:r>
      <w:proofErr w:type="spellStart"/>
      <w:r w:rsidR="005F58AC">
        <w:t>Applichems</w:t>
      </w:r>
      <w:proofErr w:type="spellEnd"/>
      <w:r w:rsidR="005F58AC">
        <w:t xml:space="preserve">’ </w:t>
      </w:r>
      <w:r w:rsidR="00C36E86">
        <w:t>production locations including</w:t>
      </w:r>
      <w:r w:rsidR="0069644C">
        <w:t xml:space="preserve">: </w:t>
      </w:r>
      <w:r w:rsidR="00417897">
        <w:t>Gary (</w:t>
      </w:r>
      <w:r w:rsidR="00C603DD">
        <w:t>Indiana/</w:t>
      </w:r>
      <w:r w:rsidR="00417897">
        <w:t xml:space="preserve">USA), </w:t>
      </w:r>
      <w:r w:rsidR="00672038">
        <w:t xml:space="preserve">Mexico, Frankfurt (Germany/Europe), </w:t>
      </w:r>
      <w:proofErr w:type="spellStart"/>
      <w:r w:rsidR="00672038">
        <w:t>Sunchem</w:t>
      </w:r>
      <w:proofErr w:type="spellEnd"/>
      <w:r w:rsidR="00672038">
        <w:t xml:space="preserve"> (Japan)</w:t>
      </w:r>
      <w:r w:rsidR="00176069">
        <w:t xml:space="preserve">.  To determine this, a cost analysis must be conducted to verify the benefits of keeping production of Release-Ease in </w:t>
      </w:r>
      <w:r w:rsidR="00C35F7A">
        <w:t>their current locations</w:t>
      </w:r>
      <w:r w:rsidR="00176069">
        <w:t>, or moving production to another location.  When determining the cost benefits, transportation and production cost differences must be considered.</w:t>
      </w:r>
    </w:p>
    <w:p w:rsidR="004C2702" w:rsidRDefault="004C2702" w:rsidP="00467902">
      <w:pPr>
        <w:jc w:val="both"/>
      </w:pPr>
    </w:p>
    <w:p w:rsidR="001E30F2" w:rsidRDefault="003C0B43" w:rsidP="00933F8A">
      <w:pPr>
        <w:jc w:val="both"/>
        <w:rPr>
          <w:b/>
        </w:rPr>
      </w:pPr>
      <w:r w:rsidRPr="00700516">
        <w:rPr>
          <w:b/>
          <w:sz w:val="28"/>
        </w:rPr>
        <w:t>Recommendations</w:t>
      </w:r>
    </w:p>
    <w:p w:rsidR="00D76571" w:rsidRDefault="00D76571" w:rsidP="00933F8A">
      <w:pPr>
        <w:jc w:val="both"/>
        <w:rPr>
          <w:b/>
        </w:rPr>
      </w:pPr>
    </w:p>
    <w:p w:rsidR="00EB5A89" w:rsidRDefault="00D76571" w:rsidP="00933F8A">
      <w:pPr>
        <w:jc w:val="both"/>
      </w:pPr>
      <w:r>
        <w:t xml:space="preserve">Through careful analysis, it </w:t>
      </w:r>
      <w:r w:rsidR="007E6C70">
        <w:t>is recommended that Production of Release-ease be maintained in Gary, Indiana.  Instead of abandoning the Gary production facility due to its lack of production efficiencies, measures to improve the f</w:t>
      </w:r>
      <w:r w:rsidR="00E60777">
        <w:t xml:space="preserve">acility should be implemented.  </w:t>
      </w:r>
    </w:p>
    <w:p w:rsidR="00E60777" w:rsidRDefault="00E60777" w:rsidP="00933F8A">
      <w:pPr>
        <w:jc w:val="both"/>
      </w:pPr>
    </w:p>
    <w:p w:rsidR="00A54ACF" w:rsidRDefault="00E60777" w:rsidP="00933F8A">
      <w:pPr>
        <w:jc w:val="both"/>
      </w:pPr>
      <w:r>
        <w:t xml:space="preserve">Ceasing </w:t>
      </w:r>
      <w:r w:rsidR="00EB5A89">
        <w:t xml:space="preserve">production of Release-ease in Japan is </w:t>
      </w:r>
      <w:r>
        <w:t xml:space="preserve">also </w:t>
      </w:r>
      <w:r w:rsidR="00EB5A89">
        <w:t xml:space="preserve">recommended.  </w:t>
      </w:r>
      <w:r>
        <w:t>Although the plant in Japan is mo</w:t>
      </w:r>
      <w:r w:rsidR="003B4F00">
        <w:t>re technologically advanced, it</w:t>
      </w:r>
      <w:r>
        <w:t>s high production costs and low productivity levels are valid reasons for eliminating the Release-ease production lines.  It is recommended, however, that the plant continues its current production of the other product it</w:t>
      </w:r>
      <w:r w:rsidR="00EB5A89">
        <w:t xml:space="preserve"> manufacture</w:t>
      </w:r>
      <w:r>
        <w:t>s.  The plant will a</w:t>
      </w:r>
      <w:r w:rsidR="003B6D32">
        <w:t>lso be useful in conducting R&amp;D for other Applichem products.</w:t>
      </w:r>
      <w:r w:rsidR="00EB5A89">
        <w:t xml:space="preserve"> </w:t>
      </w:r>
    </w:p>
    <w:p w:rsidR="00A54ACF" w:rsidRDefault="00A54ACF" w:rsidP="00933F8A">
      <w:pPr>
        <w:jc w:val="both"/>
      </w:pPr>
    </w:p>
    <w:p w:rsidR="00A54ACF" w:rsidRDefault="00A54ACF" w:rsidP="00A54ACF">
      <w:pPr>
        <w:jc w:val="both"/>
      </w:pPr>
      <w:r>
        <w:t xml:space="preserve">Changes in the production volumes among the various plants are also recommended. These changes will increase production to full capacity for some plants while reducing transportation costs. </w:t>
      </w:r>
    </w:p>
    <w:p w:rsidR="00EB5A89" w:rsidRDefault="00EB5A89" w:rsidP="00933F8A">
      <w:pPr>
        <w:jc w:val="both"/>
      </w:pPr>
      <w:r>
        <w:t xml:space="preserve"> </w:t>
      </w:r>
    </w:p>
    <w:p w:rsidR="00D8459F" w:rsidRDefault="003C0B43" w:rsidP="00467902">
      <w:pPr>
        <w:jc w:val="both"/>
        <w:rPr>
          <w:b/>
          <w:sz w:val="28"/>
        </w:rPr>
      </w:pPr>
      <w:r w:rsidRPr="00700516">
        <w:rPr>
          <w:b/>
          <w:sz w:val="28"/>
        </w:rPr>
        <w:t>Analysis</w:t>
      </w:r>
    </w:p>
    <w:p w:rsidR="006E063C" w:rsidRDefault="006E063C" w:rsidP="00467902">
      <w:pPr>
        <w:jc w:val="both"/>
        <w:rPr>
          <w:szCs w:val="24"/>
        </w:rPr>
      </w:pPr>
    </w:p>
    <w:p w:rsidR="00EA11D7" w:rsidRDefault="00DD526E" w:rsidP="00467902">
      <w:pPr>
        <w:jc w:val="both"/>
        <w:rPr>
          <w:i/>
          <w:szCs w:val="24"/>
        </w:rPr>
      </w:pPr>
      <w:r>
        <w:rPr>
          <w:i/>
          <w:szCs w:val="24"/>
        </w:rPr>
        <w:t>Cost Analysis</w:t>
      </w:r>
    </w:p>
    <w:p w:rsidR="00DD526E" w:rsidRDefault="00DD526E" w:rsidP="00467902">
      <w:pPr>
        <w:jc w:val="both"/>
        <w:rPr>
          <w:i/>
          <w:szCs w:val="24"/>
        </w:rPr>
      </w:pPr>
    </w:p>
    <w:p w:rsidR="005D5C4E" w:rsidRDefault="00A54ACF" w:rsidP="00467902">
      <w:pPr>
        <w:jc w:val="both"/>
        <w:rPr>
          <w:szCs w:val="24"/>
        </w:rPr>
      </w:pPr>
      <w:r w:rsidRPr="00A54ACF">
        <w:rPr>
          <w:szCs w:val="24"/>
        </w:rPr>
        <w:t>The</w:t>
      </w:r>
      <w:r>
        <w:rPr>
          <w:szCs w:val="24"/>
        </w:rPr>
        <w:t xml:space="preserve"> first observation that can be made about Applichem’s current production </w:t>
      </w:r>
      <w:r w:rsidR="00E402C0">
        <w:rPr>
          <w:szCs w:val="24"/>
        </w:rPr>
        <w:t xml:space="preserve">is the amount of excess capacity that could be used in its Frankfort, Gary and Mexico plants. (Exhibit 2) </w:t>
      </w:r>
      <w:r w:rsidR="006E70BD">
        <w:rPr>
          <w:szCs w:val="24"/>
        </w:rPr>
        <w:t>Import duty costs</w:t>
      </w:r>
      <w:r w:rsidR="00253E60">
        <w:rPr>
          <w:szCs w:val="24"/>
        </w:rPr>
        <w:t>,</w:t>
      </w:r>
      <w:r w:rsidR="006E70BD">
        <w:rPr>
          <w:szCs w:val="24"/>
        </w:rPr>
        <w:t xml:space="preserve"> as well as</w:t>
      </w:r>
      <w:r w:rsidR="00253E60">
        <w:rPr>
          <w:szCs w:val="24"/>
        </w:rPr>
        <w:t>,</w:t>
      </w:r>
      <w:r w:rsidR="006E70BD">
        <w:rPr>
          <w:szCs w:val="24"/>
        </w:rPr>
        <w:t xml:space="preserve"> important transportation costs have to be minimized in order to optimize efficiency of the manufacturing. Three different analyses were performed to evaluate the costs of manufacturing</w:t>
      </w:r>
      <w:r w:rsidR="004141DA">
        <w:rPr>
          <w:szCs w:val="24"/>
        </w:rPr>
        <w:t>;</w:t>
      </w:r>
      <w:r w:rsidR="006E70BD">
        <w:rPr>
          <w:szCs w:val="24"/>
        </w:rPr>
        <w:t xml:space="preserve"> if Gary was shutdown (Exhibit 3), </w:t>
      </w:r>
      <w:r w:rsidR="003B4F00">
        <w:rPr>
          <w:szCs w:val="24"/>
        </w:rPr>
        <w:t>a cost optimization was calculated (Exhibit 1), and status quo was maintained (Exhibit 2).</w:t>
      </w:r>
    </w:p>
    <w:p w:rsidR="005D5C4E" w:rsidRDefault="005D5C4E" w:rsidP="00467902">
      <w:pPr>
        <w:jc w:val="both"/>
        <w:rPr>
          <w:szCs w:val="24"/>
        </w:rPr>
      </w:pPr>
    </w:p>
    <w:p w:rsidR="005D5C4E" w:rsidRDefault="005D5C4E" w:rsidP="00467902">
      <w:pPr>
        <w:jc w:val="both"/>
        <w:rPr>
          <w:szCs w:val="24"/>
        </w:rPr>
      </w:pPr>
      <w:r>
        <w:rPr>
          <w:szCs w:val="24"/>
        </w:rPr>
        <w:t xml:space="preserve">At the current level, it costs Applichem $83 million to produce and ship its worldwide production.   </w:t>
      </w:r>
      <w:r w:rsidR="003B4F00">
        <w:rPr>
          <w:szCs w:val="24"/>
        </w:rPr>
        <w:t>To shut down Gary, every other plant would have to be used at maximum capacity and total costs would increase by $4 million</w:t>
      </w:r>
      <w:r>
        <w:rPr>
          <w:szCs w:val="24"/>
        </w:rPr>
        <w:t xml:space="preserve"> per year if demand stayed constant. The cost optimization analysis suggested that the Japanese plant should not</w:t>
      </w:r>
      <w:r w:rsidR="004141DA">
        <w:rPr>
          <w:szCs w:val="24"/>
        </w:rPr>
        <w:t xml:space="preserve"> be used to manufacture the Release-ease product</w:t>
      </w:r>
      <w:r>
        <w:rPr>
          <w:szCs w:val="24"/>
        </w:rPr>
        <w:t>.</w:t>
      </w:r>
      <w:r w:rsidR="006A77A2">
        <w:rPr>
          <w:szCs w:val="24"/>
        </w:rPr>
        <w:t xml:space="preserve"> The cost decrease generated by the plant closure would be around $4 million from its current costs.</w:t>
      </w:r>
    </w:p>
    <w:p w:rsidR="004141DA" w:rsidRDefault="004141DA" w:rsidP="00467902">
      <w:pPr>
        <w:jc w:val="both"/>
        <w:rPr>
          <w:szCs w:val="24"/>
        </w:rPr>
      </w:pPr>
    </w:p>
    <w:p w:rsidR="004141DA" w:rsidRDefault="004141DA" w:rsidP="00467902">
      <w:pPr>
        <w:jc w:val="both"/>
        <w:rPr>
          <w:szCs w:val="24"/>
        </w:rPr>
      </w:pPr>
      <w:r>
        <w:rPr>
          <w:szCs w:val="24"/>
        </w:rPr>
        <w:t>By eliminating the production in Japan, volumes would have to be readjusted in the other plants. Both Gary and the Frankfort plants would have to operate at full capacity. Reduction in production at the Mexico plant was forecasted to reduce overall costs. This would give Applichem exces</w:t>
      </w:r>
      <w:r w:rsidR="00253E60">
        <w:rPr>
          <w:szCs w:val="24"/>
        </w:rPr>
        <w:t xml:space="preserve">s capacity that it could use again in the future if demand were to grow. </w:t>
      </w:r>
      <w:r>
        <w:rPr>
          <w:szCs w:val="24"/>
        </w:rPr>
        <w:t xml:space="preserve">    </w:t>
      </w:r>
    </w:p>
    <w:p w:rsidR="003B4F00" w:rsidRDefault="003B4F00" w:rsidP="00467902">
      <w:pPr>
        <w:jc w:val="both"/>
        <w:rPr>
          <w:szCs w:val="24"/>
        </w:rPr>
      </w:pPr>
    </w:p>
    <w:p w:rsidR="00A54ACF" w:rsidRPr="00A54ACF" w:rsidRDefault="00370F22" w:rsidP="00467902">
      <w:pPr>
        <w:jc w:val="both"/>
        <w:rPr>
          <w:szCs w:val="24"/>
        </w:rPr>
      </w:pPr>
      <w:r>
        <w:rPr>
          <w:szCs w:val="24"/>
        </w:rPr>
        <w:t xml:space="preserve">Keeping the Gary plant </w:t>
      </w:r>
      <w:r w:rsidR="003B4F00">
        <w:rPr>
          <w:szCs w:val="24"/>
        </w:rPr>
        <w:t>protects Applichem from exchange rate risk when importing in the US.</w:t>
      </w:r>
      <w:r>
        <w:rPr>
          <w:szCs w:val="24"/>
        </w:rPr>
        <w:t xml:space="preserve"> Importing all of the US demand would expose Applichem to a lot of variability in its costs and revenues </w:t>
      </w:r>
      <w:r>
        <w:rPr>
          <w:szCs w:val="24"/>
        </w:rPr>
        <w:lastRenderedPageBreak/>
        <w:t>making it difficult for them to forecast properly. Demand</w:t>
      </w:r>
      <w:r w:rsidR="004141DA">
        <w:rPr>
          <w:szCs w:val="24"/>
        </w:rPr>
        <w:t xml:space="preserve"> in the US</w:t>
      </w:r>
      <w:r>
        <w:rPr>
          <w:szCs w:val="24"/>
        </w:rPr>
        <w:t xml:space="preserve"> would also be greatly affected if the US dollar were to go low for a long period of time. Since the US market is Applichem’s most important one, the risk is too great to shut down the Gary plant.   </w:t>
      </w:r>
      <w:r w:rsidR="003B4F00">
        <w:rPr>
          <w:szCs w:val="24"/>
        </w:rPr>
        <w:t xml:space="preserve">   </w:t>
      </w:r>
      <w:r w:rsidR="006E70BD">
        <w:rPr>
          <w:szCs w:val="24"/>
        </w:rPr>
        <w:t xml:space="preserve"> </w:t>
      </w:r>
      <w:r w:rsidR="00E402C0">
        <w:rPr>
          <w:szCs w:val="24"/>
        </w:rPr>
        <w:t xml:space="preserve"> </w:t>
      </w:r>
      <w:r w:rsidR="00A54ACF">
        <w:rPr>
          <w:szCs w:val="24"/>
        </w:rPr>
        <w:t xml:space="preserve"> </w:t>
      </w:r>
    </w:p>
    <w:p w:rsidR="00FA6640" w:rsidRDefault="00FA6640" w:rsidP="00467902">
      <w:pPr>
        <w:jc w:val="both"/>
        <w:rPr>
          <w:i/>
          <w:szCs w:val="24"/>
        </w:rPr>
      </w:pPr>
    </w:p>
    <w:p w:rsidR="00DD526E" w:rsidRDefault="00DD526E" w:rsidP="00467902">
      <w:pPr>
        <w:jc w:val="both"/>
        <w:rPr>
          <w:i/>
          <w:szCs w:val="24"/>
        </w:rPr>
      </w:pPr>
      <w:r>
        <w:rPr>
          <w:i/>
          <w:szCs w:val="24"/>
        </w:rPr>
        <w:t>Productivity Analysis</w:t>
      </w:r>
    </w:p>
    <w:p w:rsidR="00DD526E" w:rsidRDefault="002A776F" w:rsidP="00467902">
      <w:pPr>
        <w:jc w:val="both"/>
        <w:rPr>
          <w:szCs w:val="24"/>
        </w:rPr>
      </w:pPr>
      <w:r>
        <w:rPr>
          <w:i/>
          <w:szCs w:val="24"/>
        </w:rPr>
        <w:t xml:space="preserve"> </w:t>
      </w:r>
    </w:p>
    <w:p w:rsidR="002F1909" w:rsidRDefault="002A776F" w:rsidP="00467902">
      <w:pPr>
        <w:jc w:val="both"/>
        <w:rPr>
          <w:szCs w:val="24"/>
        </w:rPr>
      </w:pPr>
      <w:r>
        <w:rPr>
          <w:szCs w:val="24"/>
        </w:rPr>
        <w:t xml:space="preserve">Two productivity analyses were performed to evaluate which plants were manufacturing more efficiently. (Exhibit 4) </w:t>
      </w:r>
      <w:r w:rsidR="002F1909">
        <w:rPr>
          <w:szCs w:val="24"/>
        </w:rPr>
        <w:t xml:space="preserve">The volume per employee analysis confirmed the choice to shut down the Japanese plant since they have the lowest productivity ratio. Since Gary has the second lowest it will be important to improve their efficiency. As for Frankfort, it is the leading plant in employee output and taking a closer look at their operation could be beneficial in improving the US plant. </w:t>
      </w:r>
    </w:p>
    <w:p w:rsidR="00370F22" w:rsidRDefault="00370F22" w:rsidP="00467902">
      <w:pPr>
        <w:jc w:val="both"/>
        <w:rPr>
          <w:szCs w:val="24"/>
        </w:rPr>
      </w:pPr>
    </w:p>
    <w:p w:rsidR="00370F22" w:rsidRDefault="00370F22" w:rsidP="00467902">
      <w:pPr>
        <w:jc w:val="both"/>
        <w:rPr>
          <w:szCs w:val="24"/>
        </w:rPr>
      </w:pPr>
      <w:r>
        <w:rPr>
          <w:szCs w:val="24"/>
        </w:rPr>
        <w:t>Same results are given by the volume per utility cost dollar produced</w:t>
      </w:r>
      <w:r w:rsidR="00253E60">
        <w:rPr>
          <w:szCs w:val="24"/>
        </w:rPr>
        <w:t xml:space="preserve"> analysis</w:t>
      </w:r>
      <w:r>
        <w:rPr>
          <w:szCs w:val="24"/>
        </w:rPr>
        <w:t xml:space="preserve">. Frankfort is far ahead and Japan is trailing back giving Applichem no other choice but to strongly consider shutting </w:t>
      </w:r>
      <w:r w:rsidR="00253E60">
        <w:rPr>
          <w:szCs w:val="24"/>
        </w:rPr>
        <w:t xml:space="preserve">production </w:t>
      </w:r>
      <w:proofErr w:type="gramStart"/>
      <w:r w:rsidR="00253E60">
        <w:rPr>
          <w:szCs w:val="24"/>
        </w:rPr>
        <w:t>of  Release</w:t>
      </w:r>
      <w:proofErr w:type="gramEnd"/>
      <w:r w:rsidR="00253E60">
        <w:rPr>
          <w:szCs w:val="24"/>
        </w:rPr>
        <w:t>-ease in Japan.</w:t>
      </w:r>
      <w:r>
        <w:rPr>
          <w:szCs w:val="24"/>
        </w:rPr>
        <w:t xml:space="preserve"> </w:t>
      </w:r>
    </w:p>
    <w:p w:rsidR="00F44232" w:rsidRDefault="00F44232" w:rsidP="00EA5750">
      <w:pPr>
        <w:jc w:val="both"/>
        <w:rPr>
          <w:szCs w:val="24"/>
        </w:rPr>
      </w:pPr>
    </w:p>
    <w:p w:rsidR="00EA5750" w:rsidRPr="00F44232" w:rsidRDefault="002957CF" w:rsidP="00EA5750">
      <w:pPr>
        <w:jc w:val="both"/>
        <w:rPr>
          <w:szCs w:val="24"/>
        </w:rPr>
      </w:pPr>
      <w:r>
        <w:rPr>
          <w:i/>
          <w:szCs w:val="24"/>
        </w:rPr>
        <w:t xml:space="preserve">Other </w:t>
      </w:r>
      <w:r w:rsidR="00EA5750" w:rsidRPr="00DD526E">
        <w:rPr>
          <w:i/>
          <w:szCs w:val="24"/>
        </w:rPr>
        <w:t>Advantages of Release-Ease Plants</w:t>
      </w:r>
    </w:p>
    <w:p w:rsidR="002957CF" w:rsidRDefault="002957CF" w:rsidP="002957CF">
      <w:pPr>
        <w:ind w:left="720"/>
        <w:jc w:val="both"/>
      </w:pPr>
    </w:p>
    <w:p w:rsidR="002957CF" w:rsidRDefault="002957CF" w:rsidP="00284D57">
      <w:pPr>
        <w:jc w:val="both"/>
      </w:pPr>
      <w:r>
        <w:t xml:space="preserve">Gary: </w:t>
      </w:r>
    </w:p>
    <w:p w:rsidR="002957CF" w:rsidRDefault="002957CF" w:rsidP="002957CF">
      <w:pPr>
        <w:pStyle w:val="ListParagraph"/>
        <w:numPr>
          <w:ilvl w:val="0"/>
          <w:numId w:val="18"/>
        </w:numPr>
        <w:jc w:val="both"/>
      </w:pPr>
      <w:r>
        <w:t xml:space="preserve">The plant has very loyal employees, which can lead to low employee turnover rates.  Not only are employees loyal to Applichem as a company, but they are also loyal to the plant manager as well.  This can be an implication of how well Gary plant employees will react when new production process and training programs are implemented.  </w:t>
      </w:r>
    </w:p>
    <w:p w:rsidR="00284D57" w:rsidRDefault="00284D57" w:rsidP="00284D57">
      <w:pPr>
        <w:jc w:val="both"/>
      </w:pPr>
    </w:p>
    <w:p w:rsidR="002957CF" w:rsidRDefault="002957CF" w:rsidP="00284D57">
      <w:pPr>
        <w:jc w:val="both"/>
      </w:pPr>
      <w:r>
        <w:t xml:space="preserve">Frankfurt: </w:t>
      </w:r>
    </w:p>
    <w:p w:rsidR="002957CF" w:rsidRDefault="002957CF" w:rsidP="002957CF">
      <w:pPr>
        <w:pStyle w:val="ListParagraph"/>
        <w:numPr>
          <w:ilvl w:val="0"/>
          <w:numId w:val="18"/>
        </w:numPr>
        <w:jc w:val="both"/>
      </w:pPr>
      <w:r>
        <w:t>With only 600 employees and about 38 million pounds of ease release made annually, the employees at the Frankfurt plant are more productive than any other plant.</w:t>
      </w:r>
    </w:p>
    <w:p w:rsidR="002957CF" w:rsidRDefault="006A0947" w:rsidP="002957CF">
      <w:pPr>
        <w:pStyle w:val="ListParagraph"/>
        <w:numPr>
          <w:ilvl w:val="0"/>
          <w:numId w:val="18"/>
        </w:numPr>
        <w:jc w:val="both"/>
      </w:pPr>
      <w:r>
        <w:t>One piece of equipment used to produce Release-ease was installed between 1971 and 1974, and the other was installed in 1961 and has had major modifications added to increase capacity.</w:t>
      </w:r>
    </w:p>
    <w:p w:rsidR="006A0947" w:rsidRDefault="006A0947" w:rsidP="002957CF">
      <w:pPr>
        <w:pStyle w:val="ListParagraph"/>
        <w:numPr>
          <w:ilvl w:val="0"/>
          <w:numId w:val="18"/>
        </w:numPr>
        <w:jc w:val="both"/>
      </w:pPr>
      <w:r>
        <w:t>The employees at Frankfurt implement their own processes to improve Release-ease.</w:t>
      </w:r>
    </w:p>
    <w:p w:rsidR="006A0947" w:rsidRDefault="006A0947" w:rsidP="002957CF">
      <w:pPr>
        <w:pStyle w:val="ListParagraph"/>
        <w:numPr>
          <w:ilvl w:val="0"/>
          <w:numId w:val="18"/>
        </w:numPr>
        <w:jc w:val="both"/>
      </w:pPr>
      <w:r>
        <w:t>There are only 2 formulations for Release-ease.</w:t>
      </w:r>
    </w:p>
    <w:p w:rsidR="006A0947" w:rsidRDefault="006A0947" w:rsidP="002957CF">
      <w:pPr>
        <w:pStyle w:val="ListParagraph"/>
        <w:numPr>
          <w:ilvl w:val="0"/>
          <w:numId w:val="18"/>
        </w:numPr>
        <w:jc w:val="both"/>
      </w:pPr>
      <w:r>
        <w:t>Release-ease is only produced in one standard size: 50-kilo bags.</w:t>
      </w:r>
    </w:p>
    <w:p w:rsidR="00284D57" w:rsidRDefault="00284D57" w:rsidP="00284D57">
      <w:pPr>
        <w:jc w:val="both"/>
      </w:pPr>
    </w:p>
    <w:p w:rsidR="006A0947" w:rsidRDefault="006A0947" w:rsidP="00284D57">
      <w:pPr>
        <w:jc w:val="both"/>
      </w:pPr>
      <w:r>
        <w:t>Mexico:</w:t>
      </w:r>
    </w:p>
    <w:p w:rsidR="006A0947" w:rsidRDefault="006A0947" w:rsidP="006A0947">
      <w:pPr>
        <w:pStyle w:val="ListParagraph"/>
        <w:numPr>
          <w:ilvl w:val="0"/>
          <w:numId w:val="19"/>
        </w:numPr>
        <w:jc w:val="both"/>
      </w:pPr>
      <w:r>
        <w:t>Release-ease is only produced in one standard size: 50-kilo bags.</w:t>
      </w:r>
    </w:p>
    <w:p w:rsidR="006A0947" w:rsidRDefault="006A0947" w:rsidP="006A0947">
      <w:pPr>
        <w:pStyle w:val="ListParagraph"/>
        <w:numPr>
          <w:ilvl w:val="0"/>
          <w:numId w:val="19"/>
        </w:numPr>
        <w:jc w:val="both"/>
      </w:pPr>
      <w:r>
        <w:t>Employees at the Mexican plant are able to maintain process improvements suggested by the plant manager in Frankfurt</w:t>
      </w:r>
    </w:p>
    <w:p w:rsidR="00E47D75" w:rsidRDefault="00E47D75" w:rsidP="006A0947">
      <w:pPr>
        <w:pStyle w:val="ListParagraph"/>
        <w:numPr>
          <w:ilvl w:val="0"/>
          <w:numId w:val="19"/>
        </w:numPr>
        <w:jc w:val="both"/>
      </w:pPr>
      <w:r>
        <w:t xml:space="preserve">Plant equipment used for the production of Release-ease was installed in 1968 with modifications made in 1978.  </w:t>
      </w:r>
    </w:p>
    <w:p w:rsidR="00284D57" w:rsidRDefault="00284D57" w:rsidP="00284D57">
      <w:pPr>
        <w:jc w:val="both"/>
      </w:pPr>
    </w:p>
    <w:p w:rsidR="006A0947" w:rsidRDefault="006A0947" w:rsidP="00284D57">
      <w:pPr>
        <w:jc w:val="both"/>
      </w:pPr>
      <w:r>
        <w:t>Japan:</w:t>
      </w:r>
    </w:p>
    <w:p w:rsidR="006A0947" w:rsidRDefault="00BB68BB" w:rsidP="006A0947">
      <w:pPr>
        <w:pStyle w:val="ListParagraph"/>
        <w:numPr>
          <w:ilvl w:val="0"/>
          <w:numId w:val="20"/>
        </w:numPr>
        <w:jc w:val="both"/>
      </w:pPr>
      <w:r>
        <w:t>The plant in Japan only produces one other product for the plastic industry.  This allows the plant operators to concentrate on the production and improvement of Release-ease more so than the other plants.</w:t>
      </w:r>
    </w:p>
    <w:p w:rsidR="00BB68BB" w:rsidRDefault="00BB68BB" w:rsidP="006A0947">
      <w:pPr>
        <w:pStyle w:val="ListParagraph"/>
        <w:numPr>
          <w:ilvl w:val="0"/>
          <w:numId w:val="20"/>
        </w:numPr>
        <w:jc w:val="both"/>
      </w:pPr>
      <w:r>
        <w:t>Release-ease is produced in two standard sizes: 1/2-kilo bags and 1-kilo bags</w:t>
      </w:r>
    </w:p>
    <w:p w:rsidR="00BB68BB" w:rsidRDefault="00BB68BB" w:rsidP="006A0947">
      <w:pPr>
        <w:pStyle w:val="ListParagraph"/>
        <w:numPr>
          <w:ilvl w:val="0"/>
          <w:numId w:val="20"/>
        </w:numPr>
        <w:jc w:val="both"/>
      </w:pPr>
      <w:r>
        <w:lastRenderedPageBreak/>
        <w:t>The Japanese plant is more technologically advanced than other Release-ease plants.  The plant conducts a lot of R&amp;D functions which includes laboratory testing, plastics engineering, and environmentally-friendly process changes.</w:t>
      </w:r>
    </w:p>
    <w:p w:rsidR="00F44232" w:rsidRDefault="00F44232" w:rsidP="00EA5750">
      <w:pPr>
        <w:jc w:val="both"/>
        <w:rPr>
          <w:i/>
          <w:szCs w:val="24"/>
        </w:rPr>
      </w:pPr>
    </w:p>
    <w:p w:rsidR="00EA5750" w:rsidRPr="00DD526E" w:rsidRDefault="002957CF" w:rsidP="00EA5750">
      <w:pPr>
        <w:jc w:val="both"/>
        <w:rPr>
          <w:i/>
          <w:szCs w:val="24"/>
        </w:rPr>
      </w:pPr>
      <w:r>
        <w:rPr>
          <w:i/>
          <w:szCs w:val="24"/>
        </w:rPr>
        <w:t xml:space="preserve">Other </w:t>
      </w:r>
      <w:r w:rsidR="00EA5750" w:rsidRPr="00DD526E">
        <w:rPr>
          <w:i/>
          <w:szCs w:val="24"/>
        </w:rPr>
        <w:t>Disadvantages of Release-Ease Plants</w:t>
      </w:r>
    </w:p>
    <w:p w:rsidR="00EA5750" w:rsidRDefault="00EA5750" w:rsidP="00EA5750">
      <w:pPr>
        <w:jc w:val="both"/>
        <w:rPr>
          <w:szCs w:val="24"/>
        </w:rPr>
      </w:pPr>
    </w:p>
    <w:p w:rsidR="006E063C" w:rsidRDefault="00BB68BB" w:rsidP="006E063C">
      <w:pPr>
        <w:jc w:val="both"/>
        <w:rPr>
          <w:szCs w:val="24"/>
        </w:rPr>
      </w:pPr>
      <w:r>
        <w:rPr>
          <w:szCs w:val="24"/>
        </w:rPr>
        <w:t>Gary:</w:t>
      </w:r>
    </w:p>
    <w:p w:rsidR="00BB68BB" w:rsidRDefault="00BB68BB" w:rsidP="00BB68BB">
      <w:pPr>
        <w:pStyle w:val="ListParagraph"/>
        <w:numPr>
          <w:ilvl w:val="0"/>
          <w:numId w:val="21"/>
        </w:numPr>
        <w:jc w:val="both"/>
        <w:rPr>
          <w:szCs w:val="24"/>
        </w:rPr>
      </w:pPr>
      <w:r>
        <w:rPr>
          <w:szCs w:val="24"/>
        </w:rPr>
        <w:t>The equipment used for the production of Release-ease was installed between 1959 and 1964</w:t>
      </w:r>
      <w:r w:rsidR="00F14D9A">
        <w:rPr>
          <w:szCs w:val="24"/>
        </w:rPr>
        <w:t>, which is outdated according to an estimated useful technical life of 20 years.</w:t>
      </w:r>
    </w:p>
    <w:p w:rsidR="00F14D9A" w:rsidRDefault="00F14D9A" w:rsidP="00BB68BB">
      <w:pPr>
        <w:pStyle w:val="ListParagraph"/>
        <w:numPr>
          <w:ilvl w:val="0"/>
          <w:numId w:val="21"/>
        </w:numPr>
        <w:jc w:val="both"/>
        <w:rPr>
          <w:szCs w:val="24"/>
        </w:rPr>
      </w:pPr>
      <w:r>
        <w:rPr>
          <w:szCs w:val="24"/>
        </w:rPr>
        <w:t xml:space="preserve">Gary has 8 different formulations for Release-ease.  </w:t>
      </w:r>
    </w:p>
    <w:p w:rsidR="00F14D9A" w:rsidRDefault="00F14D9A" w:rsidP="00BB68BB">
      <w:pPr>
        <w:pStyle w:val="ListParagraph"/>
        <w:numPr>
          <w:ilvl w:val="0"/>
          <w:numId w:val="21"/>
        </w:numPr>
        <w:jc w:val="both"/>
        <w:rPr>
          <w:szCs w:val="24"/>
        </w:rPr>
      </w:pPr>
      <w:r>
        <w:rPr>
          <w:szCs w:val="24"/>
        </w:rPr>
        <w:t>Release-ease is produced in 80 different package sizes.</w:t>
      </w:r>
    </w:p>
    <w:p w:rsidR="00F14D9A" w:rsidRDefault="00F14D9A" w:rsidP="00BB68BB">
      <w:pPr>
        <w:pStyle w:val="ListParagraph"/>
        <w:numPr>
          <w:ilvl w:val="0"/>
          <w:numId w:val="21"/>
        </w:numPr>
        <w:jc w:val="both"/>
        <w:rPr>
          <w:szCs w:val="24"/>
        </w:rPr>
      </w:pPr>
      <w:r>
        <w:rPr>
          <w:szCs w:val="24"/>
        </w:rPr>
        <w:t>The Gary plant produces 19 other products other than Release-ease.  The plant was also designed to be a batch operation, not a streamline operation, which causes production to switch between different product lines.</w:t>
      </w:r>
    </w:p>
    <w:p w:rsidR="006E063C" w:rsidRDefault="006E063C" w:rsidP="006E063C">
      <w:pPr>
        <w:jc w:val="both"/>
        <w:rPr>
          <w:szCs w:val="24"/>
        </w:rPr>
      </w:pPr>
    </w:p>
    <w:p w:rsidR="00BB68BB" w:rsidRDefault="00BB68BB" w:rsidP="006E063C">
      <w:pPr>
        <w:jc w:val="both"/>
        <w:rPr>
          <w:szCs w:val="24"/>
        </w:rPr>
      </w:pPr>
      <w:r>
        <w:rPr>
          <w:szCs w:val="24"/>
        </w:rPr>
        <w:t>Frankfurt:</w:t>
      </w:r>
    </w:p>
    <w:p w:rsidR="00F14D9A" w:rsidRPr="00F14D9A" w:rsidRDefault="00F14D9A" w:rsidP="00F14D9A">
      <w:pPr>
        <w:pStyle w:val="ListParagraph"/>
        <w:numPr>
          <w:ilvl w:val="0"/>
          <w:numId w:val="22"/>
        </w:numPr>
        <w:jc w:val="both"/>
        <w:rPr>
          <w:szCs w:val="24"/>
        </w:rPr>
      </w:pPr>
      <w:r>
        <w:rPr>
          <w:szCs w:val="24"/>
        </w:rPr>
        <w:t>The Frankfurt plant produces 12 other products in addition to Release-ease, which means its production processes are not solely concentrated on the production of Release-ease.</w:t>
      </w:r>
    </w:p>
    <w:p w:rsidR="006E063C" w:rsidRDefault="006E063C" w:rsidP="006E063C">
      <w:pPr>
        <w:jc w:val="both"/>
        <w:rPr>
          <w:szCs w:val="24"/>
        </w:rPr>
      </w:pPr>
    </w:p>
    <w:p w:rsidR="00BB68BB" w:rsidRDefault="00BB68BB" w:rsidP="006E063C">
      <w:pPr>
        <w:jc w:val="both"/>
        <w:rPr>
          <w:szCs w:val="24"/>
        </w:rPr>
      </w:pPr>
      <w:r>
        <w:rPr>
          <w:szCs w:val="24"/>
        </w:rPr>
        <w:t>Mexico:</w:t>
      </w:r>
    </w:p>
    <w:p w:rsidR="00F14D9A" w:rsidRDefault="00F14D9A" w:rsidP="00F14D9A">
      <w:pPr>
        <w:pStyle w:val="ListParagraph"/>
        <w:numPr>
          <w:ilvl w:val="0"/>
          <w:numId w:val="22"/>
        </w:numPr>
        <w:jc w:val="both"/>
        <w:rPr>
          <w:szCs w:val="24"/>
        </w:rPr>
      </w:pPr>
      <w:r>
        <w:rPr>
          <w:szCs w:val="24"/>
        </w:rPr>
        <w:t>The Mex</w:t>
      </w:r>
      <w:bookmarkStart w:id="0" w:name="_GoBack"/>
      <w:bookmarkEnd w:id="0"/>
      <w:r>
        <w:rPr>
          <w:szCs w:val="24"/>
        </w:rPr>
        <w:t>ico plant produces 6 other products in addition to Release-ease, which means its production processes are not solely concentrated on the production of Release-ease.</w:t>
      </w:r>
    </w:p>
    <w:p w:rsidR="00E47D75" w:rsidRPr="00F14D9A" w:rsidRDefault="00E47D75" w:rsidP="00F14D9A">
      <w:pPr>
        <w:pStyle w:val="ListParagraph"/>
        <w:numPr>
          <w:ilvl w:val="0"/>
          <w:numId w:val="22"/>
        </w:numPr>
        <w:jc w:val="both"/>
        <w:rPr>
          <w:szCs w:val="24"/>
        </w:rPr>
      </w:pPr>
      <w:r>
        <w:rPr>
          <w:szCs w:val="24"/>
        </w:rPr>
        <w:t>Educational levels of employees are lower in Mexico than in other plants.</w:t>
      </w:r>
    </w:p>
    <w:p w:rsidR="006E063C" w:rsidRDefault="006E063C" w:rsidP="006E063C">
      <w:pPr>
        <w:jc w:val="both"/>
        <w:rPr>
          <w:szCs w:val="24"/>
        </w:rPr>
      </w:pPr>
    </w:p>
    <w:p w:rsidR="00BB68BB" w:rsidRDefault="00BB68BB" w:rsidP="006E063C">
      <w:pPr>
        <w:jc w:val="both"/>
        <w:rPr>
          <w:szCs w:val="24"/>
        </w:rPr>
      </w:pPr>
      <w:r>
        <w:rPr>
          <w:szCs w:val="24"/>
        </w:rPr>
        <w:t>Japan:</w:t>
      </w:r>
    </w:p>
    <w:p w:rsidR="00E47D75" w:rsidRDefault="00E47D75" w:rsidP="00E47D75">
      <w:pPr>
        <w:pStyle w:val="ListParagraph"/>
        <w:numPr>
          <w:ilvl w:val="0"/>
          <w:numId w:val="23"/>
        </w:numPr>
        <w:jc w:val="both"/>
        <w:rPr>
          <w:szCs w:val="24"/>
        </w:rPr>
      </w:pPr>
      <w:r>
        <w:rPr>
          <w:szCs w:val="24"/>
        </w:rPr>
        <w:t xml:space="preserve">There are a large number of employees at the Japan plant, which increases labor costs.  </w:t>
      </w:r>
    </w:p>
    <w:p w:rsidR="00E47D75" w:rsidRPr="00E47D75" w:rsidRDefault="00E47D75" w:rsidP="00E47D75">
      <w:pPr>
        <w:pStyle w:val="ListParagraph"/>
        <w:numPr>
          <w:ilvl w:val="0"/>
          <w:numId w:val="23"/>
        </w:numPr>
        <w:jc w:val="both"/>
        <w:rPr>
          <w:szCs w:val="24"/>
        </w:rPr>
      </w:pPr>
      <w:r>
        <w:rPr>
          <w:szCs w:val="24"/>
        </w:rPr>
        <w:t>Employees at the Japan plant are subject to more regulations.  For example, they are required to have a license to handle flammable materials.  Also, employees who work the third shift must be allowed 2 hours of sleeping time.</w:t>
      </w:r>
    </w:p>
    <w:p w:rsidR="00FA6640" w:rsidRPr="00FA6640" w:rsidRDefault="00FA6640" w:rsidP="00EA5750">
      <w:pPr>
        <w:jc w:val="both"/>
        <w:rPr>
          <w:i/>
          <w:szCs w:val="24"/>
        </w:rPr>
      </w:pPr>
    </w:p>
    <w:p w:rsidR="00EA5750" w:rsidRDefault="00DD526E" w:rsidP="00EA5750">
      <w:pPr>
        <w:jc w:val="both"/>
        <w:rPr>
          <w:i/>
        </w:rPr>
      </w:pPr>
      <w:r>
        <w:rPr>
          <w:i/>
        </w:rPr>
        <w:t>Use of Japanese Plant</w:t>
      </w:r>
    </w:p>
    <w:p w:rsidR="00FA6640" w:rsidRDefault="00FA6640" w:rsidP="00EA5750">
      <w:pPr>
        <w:jc w:val="both"/>
      </w:pPr>
    </w:p>
    <w:p w:rsidR="00EA4586" w:rsidRDefault="00EA4586" w:rsidP="00EA5750">
      <w:pPr>
        <w:jc w:val="both"/>
      </w:pPr>
      <w:r>
        <w:t>Due to the low levels of production</w:t>
      </w:r>
      <w:r w:rsidR="00321E57">
        <w:t xml:space="preserve"> per employee</w:t>
      </w:r>
      <w:r>
        <w:t xml:space="preserve"> and high operating costs of the Japan plant</w:t>
      </w:r>
      <w:r w:rsidR="00321E57">
        <w:t xml:space="preserve"> (see exhibit 4)</w:t>
      </w:r>
      <w:r>
        <w:t>, it is highly ineffective to continue production at this plant.  Therefore, the Japan plant should cease to produce Release-Ease and only continue with the production of their second product.  This should not be an issue since Applichem is the only company whose product has been approved by Japanese regulators.  Subsequently, only exporting to Japan rather than producing the product in Japan should not be an issue</w:t>
      </w:r>
    </w:p>
    <w:p w:rsidR="00EA4586" w:rsidRDefault="00EA4586" w:rsidP="00EA5750">
      <w:pPr>
        <w:jc w:val="both"/>
      </w:pPr>
    </w:p>
    <w:p w:rsidR="00EC64AE" w:rsidRDefault="00EA4586" w:rsidP="00EA5750">
      <w:pPr>
        <w:jc w:val="both"/>
      </w:pPr>
      <w:r>
        <w:t>Once production</w:t>
      </w:r>
      <w:r w:rsidR="00C6097B">
        <w:t xml:space="preserve"> in the Japan plant</w:t>
      </w:r>
      <w:r>
        <w:t xml:space="preserve"> has ceased, the most beneficial use of this plant would be to use it as a Research </w:t>
      </w:r>
      <w:r w:rsidR="001E3EF6">
        <w:t>&amp;</w:t>
      </w:r>
      <w:r>
        <w:t xml:space="preserve"> Development facility.  </w:t>
      </w:r>
      <w:r w:rsidR="001E3EF6">
        <w:t>This is recommended because the employees of this location do more Research &amp; Development than any other location</w:t>
      </w:r>
      <w:r w:rsidR="00C6097B">
        <w:t xml:space="preserve"> because they have a product test laboratory a</w:t>
      </w:r>
      <w:r w:rsidR="00527422">
        <w:t xml:space="preserve">nd a plastics engineering lab on hand.  </w:t>
      </w:r>
    </w:p>
    <w:p w:rsidR="00D73D8B" w:rsidRDefault="00D73D8B" w:rsidP="00EA5750">
      <w:pPr>
        <w:jc w:val="both"/>
      </w:pPr>
    </w:p>
    <w:p w:rsidR="00D73D8B" w:rsidRDefault="00D73D8B" w:rsidP="00EA5750">
      <w:pPr>
        <w:jc w:val="both"/>
      </w:pPr>
      <w:r>
        <w:t>This is not a detrimental choice because if the plant is needed in the future</w:t>
      </w:r>
      <w:r w:rsidR="00F171F1">
        <w:t xml:space="preserve"> for the production of Release-Ease</w:t>
      </w:r>
      <w:r>
        <w:t>, production</w:t>
      </w:r>
      <w:r w:rsidR="00253E45">
        <w:t xml:space="preserve"> can </w:t>
      </w:r>
      <w:r w:rsidR="00F171F1">
        <w:t>begin</w:t>
      </w:r>
      <w:r w:rsidR="00253E45">
        <w:t xml:space="preserve"> again if needed.  If necessary, these decisions can be reversed if they prove to be disadvantageous.  </w:t>
      </w:r>
    </w:p>
    <w:p w:rsidR="00EC64AE" w:rsidRPr="00EC64AE" w:rsidRDefault="00EC64AE" w:rsidP="00EA5750">
      <w:pPr>
        <w:jc w:val="both"/>
      </w:pPr>
    </w:p>
    <w:p w:rsidR="00284D57" w:rsidRDefault="00284D57" w:rsidP="007349A2">
      <w:pPr>
        <w:jc w:val="both"/>
        <w:rPr>
          <w:b/>
          <w:sz w:val="28"/>
        </w:rPr>
      </w:pPr>
    </w:p>
    <w:p w:rsidR="007349A2" w:rsidRDefault="00307F9F" w:rsidP="007349A2">
      <w:pPr>
        <w:jc w:val="both"/>
        <w:rPr>
          <w:b/>
          <w:sz w:val="28"/>
        </w:rPr>
      </w:pPr>
      <w:r>
        <w:rPr>
          <w:b/>
          <w:sz w:val="28"/>
        </w:rPr>
        <w:t>Alternatives</w:t>
      </w:r>
    </w:p>
    <w:p w:rsidR="000E58EA" w:rsidRDefault="000E58EA" w:rsidP="007349A2">
      <w:pPr>
        <w:jc w:val="both"/>
        <w:rPr>
          <w:b/>
          <w:sz w:val="28"/>
        </w:rPr>
      </w:pPr>
    </w:p>
    <w:p w:rsidR="000E58EA" w:rsidRDefault="000E58EA" w:rsidP="007349A2">
      <w:pPr>
        <w:jc w:val="both"/>
      </w:pPr>
      <w:r>
        <w:t>When looking at the case prior to conducting a cost analysis, the most logical assumption would be to make Gary more productive by updating their technology in order to run more efficiently.  This is due to the fact that the US demand is 26.4 million pounds and the next biggest demand is in Europe at 20 million pounds.  With a total demand of 79.9 million pounds, 33% of the demand comes directly from the United States.  Therefore, minimizing transportation costs by having a plant in the US which produces the product would make the most sense.</w:t>
      </w:r>
      <w:r w:rsidR="00EB5A89">
        <w:t xml:space="preserve">  However, the</w:t>
      </w:r>
      <w:r>
        <w:t xml:space="preserve"> case did not provide any costs associated with updating technology; therefore, an analysis was not able to be conducted.</w:t>
      </w:r>
    </w:p>
    <w:p w:rsidR="00E0208A" w:rsidRDefault="00E0208A" w:rsidP="007349A2">
      <w:pPr>
        <w:jc w:val="both"/>
      </w:pPr>
    </w:p>
    <w:p w:rsidR="00E0208A" w:rsidRDefault="00E0208A" w:rsidP="007349A2">
      <w:pPr>
        <w:jc w:val="both"/>
      </w:pPr>
      <w:r>
        <w:t>Another option would have been the possibility of stopping production in Japan because it</w:t>
      </w:r>
      <w:r w:rsidR="00B672D2">
        <w:t xml:space="preserve"> requires the highest cost to produce the product.  If this were the case, the technology currently in Japan could be sent to the Gary plant to help make production more efficient.  However, again the case did not provide any costs associated with updating technology; therefore, an analysis was not able to be conducted.</w:t>
      </w:r>
    </w:p>
    <w:p w:rsidR="000E58EA" w:rsidRDefault="000E58EA" w:rsidP="007349A2">
      <w:pPr>
        <w:jc w:val="both"/>
      </w:pPr>
    </w:p>
    <w:p w:rsidR="000E58EA" w:rsidRPr="000E58EA" w:rsidRDefault="000E58EA" w:rsidP="007349A2">
      <w:pPr>
        <w:jc w:val="both"/>
      </w:pPr>
      <w:r>
        <w:t xml:space="preserve">If an observer only looked at the exhibits provided, they would most likely assume that the most logical way to save money would be to send as much production as possible to Frankfurt where cost of production is cheapest and then sending the remainder of production, after this location was maximized, to Mexico.  However, the cost analysis did not agree with this assumption. </w:t>
      </w:r>
    </w:p>
    <w:p w:rsidR="00C56EED" w:rsidRDefault="00C56EED" w:rsidP="00467902">
      <w:pPr>
        <w:jc w:val="both"/>
      </w:pPr>
    </w:p>
    <w:p w:rsidR="00E60777" w:rsidRDefault="00E60777" w:rsidP="00E60777">
      <w:pPr>
        <w:jc w:val="both"/>
      </w:pPr>
      <w:r>
        <w:t xml:space="preserve">Building a new factory is also an option.  However, at an estimated $20-$25 million for construction of a new factory, this should be evaluated as a last resort option.  </w:t>
      </w:r>
    </w:p>
    <w:p w:rsidR="00EA6368" w:rsidRDefault="00EA6368" w:rsidP="00C93198">
      <w:pPr>
        <w:jc w:val="both"/>
        <w:rPr>
          <w:b/>
          <w:sz w:val="28"/>
        </w:rPr>
      </w:pPr>
    </w:p>
    <w:p w:rsidR="00C93198" w:rsidRDefault="00C93198" w:rsidP="00C93198">
      <w:pPr>
        <w:jc w:val="both"/>
        <w:rPr>
          <w:szCs w:val="24"/>
        </w:rPr>
      </w:pPr>
      <w:r>
        <w:rPr>
          <w:b/>
          <w:sz w:val="28"/>
        </w:rPr>
        <w:t>Assumptions</w:t>
      </w:r>
    </w:p>
    <w:p w:rsidR="00C93198" w:rsidRDefault="00C93198" w:rsidP="00C93198">
      <w:pPr>
        <w:jc w:val="both"/>
      </w:pPr>
    </w:p>
    <w:p w:rsidR="00C93198" w:rsidRDefault="00C93198" w:rsidP="00C93198">
      <w:pPr>
        <w:jc w:val="both"/>
      </w:pPr>
      <w:r>
        <w:t>Due to the lack of information on the Venezuela and Ontario plants</w:t>
      </w:r>
      <w:r w:rsidR="00DD526E">
        <w:t>,</w:t>
      </w:r>
      <w:r>
        <w:t xml:space="preserve"> they are not included in the productivity analysis.</w:t>
      </w:r>
    </w:p>
    <w:p w:rsidR="00C93198" w:rsidRDefault="00C93198" w:rsidP="00C93198">
      <w:pPr>
        <w:jc w:val="both"/>
      </w:pPr>
    </w:p>
    <w:p w:rsidR="0036149D" w:rsidRDefault="00700516" w:rsidP="0036149D">
      <w:pPr>
        <w:jc w:val="both"/>
        <w:rPr>
          <w:b/>
          <w:szCs w:val="24"/>
        </w:rPr>
      </w:pPr>
      <w:r w:rsidRPr="00700516">
        <w:rPr>
          <w:b/>
          <w:sz w:val="28"/>
        </w:rPr>
        <w:t>Implementation</w:t>
      </w:r>
      <w:r w:rsidRPr="00700516">
        <w:rPr>
          <w:sz w:val="28"/>
        </w:rPr>
        <w:t xml:space="preserve"> </w:t>
      </w:r>
      <w:r w:rsidRPr="00700516">
        <w:rPr>
          <w:b/>
          <w:sz w:val="28"/>
        </w:rPr>
        <w:t>Plan</w:t>
      </w:r>
    </w:p>
    <w:p w:rsidR="00AF1BC7" w:rsidRDefault="00AF1BC7" w:rsidP="00215717">
      <w:pPr>
        <w:jc w:val="both"/>
        <w:rPr>
          <w:szCs w:val="24"/>
        </w:rPr>
      </w:pPr>
    </w:p>
    <w:p w:rsidR="002B27C6" w:rsidRDefault="002B27C6" w:rsidP="00215717">
      <w:pPr>
        <w:jc w:val="both"/>
        <w:rPr>
          <w:szCs w:val="24"/>
        </w:rPr>
      </w:pPr>
      <w:r>
        <w:rPr>
          <w:szCs w:val="24"/>
        </w:rPr>
        <w:t>In order to maintain a production presence in the United States where demand is the highest for Release-ease, Applichem must update or replace its manufacturing facility in Gary, IN.  Because the cost of building a new factory is estimated to be $20-$25 million, it is recommended that all other alternatives be evaluated first.</w:t>
      </w:r>
    </w:p>
    <w:p w:rsidR="002B27C6" w:rsidRDefault="002B27C6" w:rsidP="00215717">
      <w:pPr>
        <w:jc w:val="both"/>
        <w:rPr>
          <w:szCs w:val="24"/>
        </w:rPr>
      </w:pPr>
    </w:p>
    <w:p w:rsidR="002B27C6" w:rsidRDefault="002B27C6" w:rsidP="00215717">
      <w:pPr>
        <w:jc w:val="both"/>
        <w:rPr>
          <w:szCs w:val="24"/>
        </w:rPr>
      </w:pPr>
      <w:r>
        <w:rPr>
          <w:szCs w:val="24"/>
        </w:rPr>
        <w:t xml:space="preserve">Creating a dedicated production line for Release-ease would increase efficiency in Gary.  The plant is designed to run batches of one product at a time.  This requires change over time and increased overhead costs for setup </w:t>
      </w:r>
      <w:r w:rsidR="00DA108D">
        <w:rPr>
          <w:szCs w:val="24"/>
        </w:rPr>
        <w:t>each time a different product is made.</w:t>
      </w:r>
      <w:r>
        <w:rPr>
          <w:szCs w:val="24"/>
        </w:rPr>
        <w:t xml:space="preserve">  </w:t>
      </w:r>
    </w:p>
    <w:p w:rsidR="002B27C6" w:rsidRDefault="002B27C6" w:rsidP="00215717">
      <w:pPr>
        <w:jc w:val="both"/>
        <w:rPr>
          <w:szCs w:val="24"/>
        </w:rPr>
      </w:pPr>
    </w:p>
    <w:p w:rsidR="00CB158C" w:rsidRDefault="002B27C6" w:rsidP="00215717">
      <w:pPr>
        <w:jc w:val="both"/>
      </w:pPr>
      <w:r>
        <w:rPr>
          <w:szCs w:val="24"/>
        </w:rPr>
        <w:t>The plant in Gary, IN also needs to assimilate process efficiencies that are used in Frankfort and Ja</w:t>
      </w:r>
      <w:r w:rsidR="00CB158C">
        <w:rPr>
          <w:szCs w:val="24"/>
        </w:rPr>
        <w:t xml:space="preserve">pan to benefit from increased productivity and waste recovery.  </w:t>
      </w:r>
      <w:r w:rsidR="00CB158C">
        <w:t xml:space="preserve">Bringing managers from other factories around the world together to discuss and share innovations as Joe </w:t>
      </w:r>
      <w:proofErr w:type="spellStart"/>
      <w:r w:rsidR="00CB158C">
        <w:t>Spadaro</w:t>
      </w:r>
      <w:proofErr w:type="spellEnd"/>
      <w:r w:rsidR="00CB158C">
        <w:t xml:space="preserve"> suggested could help to cross facilitate ideas and efficiencies throughout Applichem’s supply chain.</w:t>
      </w:r>
      <w:r w:rsidR="00DA108D">
        <w:t xml:space="preserve">  </w:t>
      </w:r>
      <w:r w:rsidR="00CB158C">
        <w:t>These changes in Gary will require investments in property, plant, and equipment.  It will also be necessary to train employees</w:t>
      </w:r>
      <w:r w:rsidR="00EC63A8">
        <w:t xml:space="preserve"> along the way to make use of the cost cutting technologies Applichem will bring to Gary.</w:t>
      </w:r>
    </w:p>
    <w:p w:rsidR="00EC63A8" w:rsidRDefault="00EC63A8" w:rsidP="00215717">
      <w:pPr>
        <w:jc w:val="both"/>
      </w:pPr>
    </w:p>
    <w:p w:rsidR="00EC63A8" w:rsidRDefault="00EC63A8" w:rsidP="00215717">
      <w:pPr>
        <w:jc w:val="both"/>
      </w:pPr>
      <w:r>
        <w:lastRenderedPageBreak/>
        <w:t xml:space="preserve">The Gary, IN plant also runs 8 formulations of Release-ease and sells them in 80 different </w:t>
      </w:r>
      <w:r w:rsidR="00DA108D">
        <w:t>sized packages</w:t>
      </w:r>
      <w:r>
        <w:t>.  Decreasing the number of formulations to 2 and offering 2 sizes of packages would streamline the production process.  Consideration to customer demands for shelf life and concentration of active ingredient should be taken when making this decision.</w:t>
      </w:r>
    </w:p>
    <w:p w:rsidR="00EC63A8" w:rsidRDefault="00EC63A8" w:rsidP="00215717">
      <w:pPr>
        <w:jc w:val="both"/>
      </w:pPr>
    </w:p>
    <w:p w:rsidR="00EC63A8" w:rsidRDefault="00EC63A8" w:rsidP="00215717">
      <w:pPr>
        <w:jc w:val="both"/>
      </w:pPr>
      <w:r>
        <w:t>Once the Gary, IN plant has shown satisfactory improvement production of Release-ease can be stopped in Japan.  The cost of production there is high, and ceasing production would optimize company-wide efficiency as shown in Exhibit 1.  The Japanese factory would still be left open for production of the other product that is made there as well as R&amp;D as they have excellent technology and development skills.</w:t>
      </w:r>
      <w:r w:rsidR="00DA108D">
        <w:t xml:space="preserve">  If demand rises and more production capacity is needed, the plant in Japan can again be considered for Release-ease manufacturing at that time.</w:t>
      </w:r>
    </w:p>
    <w:p w:rsidR="0040275E" w:rsidRDefault="0040275E" w:rsidP="00215717">
      <w:pPr>
        <w:jc w:val="both"/>
      </w:pPr>
    </w:p>
    <w:p w:rsidR="002B27C6" w:rsidRDefault="0040275E" w:rsidP="00AA469D">
      <w:pPr>
        <w:jc w:val="both"/>
        <w:rPr>
          <w:i/>
          <w:szCs w:val="24"/>
        </w:rPr>
      </w:pPr>
      <w:r>
        <w:t>This plan will be monitored in the future to ensure that it proves to be cos</w:t>
      </w:r>
      <w:r w:rsidR="00E02C01">
        <w:t>t beneficial as expected.  If this plan</w:t>
      </w:r>
      <w:r>
        <w:t xml:space="preserve"> does not prove to be beneficial, changes will be made accordingly in the future.</w:t>
      </w:r>
    </w:p>
    <w:p w:rsidR="00700516" w:rsidRPr="00EA11D7" w:rsidRDefault="004C2702" w:rsidP="003F0D26">
      <w:pPr>
        <w:rPr>
          <w:i/>
          <w:szCs w:val="24"/>
        </w:rPr>
      </w:pPr>
      <w:r>
        <w:rPr>
          <w:i/>
          <w:szCs w:val="24"/>
        </w:rPr>
        <w:br w:type="page"/>
      </w:r>
      <w:r w:rsidR="00700516" w:rsidRPr="00700516">
        <w:rPr>
          <w:b/>
          <w:sz w:val="28"/>
        </w:rPr>
        <w:lastRenderedPageBreak/>
        <w:t>Appendix</w:t>
      </w:r>
    </w:p>
    <w:p w:rsidR="00700516" w:rsidRDefault="00700516" w:rsidP="003F0D26"/>
    <w:p w:rsidR="00BF642B" w:rsidRPr="004C66BB" w:rsidRDefault="00D4280A">
      <w:pPr>
        <w:rPr>
          <w:i/>
        </w:rPr>
      </w:pPr>
      <w:r w:rsidRPr="004C66BB">
        <w:rPr>
          <w:i/>
        </w:rPr>
        <w:t>Exhibit 1</w:t>
      </w:r>
      <w:r w:rsidR="00BF642B" w:rsidRPr="004C66BB">
        <w:rPr>
          <w:i/>
        </w:rPr>
        <w:t xml:space="preserve"> </w:t>
      </w:r>
    </w:p>
    <w:p w:rsidR="00BF642B" w:rsidRDefault="00BF642B"/>
    <w:p w:rsidR="00A35DC3" w:rsidRDefault="00634D35" w:rsidP="00892361">
      <w:pPr>
        <w:jc w:val="center"/>
      </w:pPr>
      <w:r w:rsidRPr="00634D35">
        <w:rPr>
          <w:noProof/>
        </w:rPr>
        <w:drawing>
          <wp:inline distT="0" distB="0" distL="0" distR="0">
            <wp:extent cx="6400800" cy="492248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400800" cy="4922483"/>
                    </a:xfrm>
                    <a:prstGeom prst="rect">
                      <a:avLst/>
                    </a:prstGeom>
                    <a:noFill/>
                    <a:ln w="9525">
                      <a:noFill/>
                      <a:miter lim="800000"/>
                      <a:headEnd/>
                      <a:tailEnd/>
                    </a:ln>
                  </pic:spPr>
                </pic:pic>
              </a:graphicData>
            </a:graphic>
          </wp:inline>
        </w:drawing>
      </w:r>
    </w:p>
    <w:p w:rsidR="00A35DC3" w:rsidRDefault="00A35DC3" w:rsidP="003F0D26"/>
    <w:p w:rsidR="00AE0FE9" w:rsidRDefault="00AE0FE9">
      <w:r>
        <w:br w:type="page"/>
      </w:r>
    </w:p>
    <w:p w:rsidR="000F6922" w:rsidRPr="004C66BB" w:rsidRDefault="000F6922" w:rsidP="000F6922">
      <w:pPr>
        <w:rPr>
          <w:i/>
        </w:rPr>
      </w:pPr>
      <w:r>
        <w:rPr>
          <w:i/>
        </w:rPr>
        <w:lastRenderedPageBreak/>
        <w:t>Exhibit 2</w:t>
      </w:r>
      <w:r w:rsidRPr="004C66BB">
        <w:rPr>
          <w:i/>
        </w:rPr>
        <w:t xml:space="preserve"> </w:t>
      </w:r>
    </w:p>
    <w:p w:rsidR="000F6922" w:rsidRDefault="000F6922">
      <w:pPr>
        <w:rPr>
          <w:i/>
        </w:rPr>
      </w:pPr>
    </w:p>
    <w:p w:rsidR="000F6922" w:rsidRDefault="000F6922">
      <w:pPr>
        <w:rPr>
          <w:i/>
        </w:rPr>
      </w:pPr>
      <w:r w:rsidRPr="000F6922">
        <w:rPr>
          <w:noProof/>
        </w:rPr>
        <w:drawing>
          <wp:inline distT="0" distB="0" distL="0" distR="0">
            <wp:extent cx="6400800" cy="46345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400800" cy="4634520"/>
                    </a:xfrm>
                    <a:prstGeom prst="rect">
                      <a:avLst/>
                    </a:prstGeom>
                    <a:noFill/>
                    <a:ln w="9525">
                      <a:noFill/>
                      <a:miter lim="800000"/>
                      <a:headEnd/>
                      <a:tailEnd/>
                    </a:ln>
                  </pic:spPr>
                </pic:pic>
              </a:graphicData>
            </a:graphic>
          </wp:inline>
        </w:drawing>
      </w:r>
      <w:r>
        <w:rPr>
          <w:i/>
        </w:rPr>
        <w:br w:type="page"/>
      </w:r>
    </w:p>
    <w:p w:rsidR="00B45521" w:rsidRDefault="00B45521" w:rsidP="00B45521">
      <w:pPr>
        <w:rPr>
          <w:i/>
        </w:rPr>
      </w:pPr>
      <w:r>
        <w:rPr>
          <w:i/>
        </w:rPr>
        <w:lastRenderedPageBreak/>
        <w:t>Exhibit 3</w:t>
      </w:r>
    </w:p>
    <w:p w:rsidR="00B45521" w:rsidRDefault="00B45521" w:rsidP="00B45521">
      <w:pPr>
        <w:rPr>
          <w:i/>
        </w:rPr>
      </w:pPr>
    </w:p>
    <w:p w:rsidR="00B45521" w:rsidRPr="00B45521" w:rsidRDefault="00AD22EA" w:rsidP="00B45521">
      <w:r w:rsidRPr="00AD22EA">
        <w:rPr>
          <w:noProof/>
        </w:rPr>
        <w:drawing>
          <wp:inline distT="0" distB="0" distL="0" distR="0">
            <wp:extent cx="6400800" cy="46345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400800" cy="4634520"/>
                    </a:xfrm>
                    <a:prstGeom prst="rect">
                      <a:avLst/>
                    </a:prstGeom>
                    <a:noFill/>
                    <a:ln w="9525">
                      <a:noFill/>
                      <a:miter lim="800000"/>
                      <a:headEnd/>
                      <a:tailEnd/>
                    </a:ln>
                  </pic:spPr>
                </pic:pic>
              </a:graphicData>
            </a:graphic>
          </wp:inline>
        </w:drawing>
      </w:r>
    </w:p>
    <w:p w:rsidR="00B45521" w:rsidRDefault="00B45521">
      <w:pPr>
        <w:rPr>
          <w:i/>
        </w:rPr>
      </w:pPr>
      <w:r>
        <w:rPr>
          <w:i/>
        </w:rPr>
        <w:br w:type="page"/>
      </w:r>
    </w:p>
    <w:p w:rsidR="00700516" w:rsidRPr="004C66BB" w:rsidRDefault="000F6922" w:rsidP="003F0D26">
      <w:pPr>
        <w:rPr>
          <w:i/>
        </w:rPr>
      </w:pPr>
      <w:r>
        <w:rPr>
          <w:i/>
        </w:rPr>
        <w:lastRenderedPageBreak/>
        <w:t>Exhibit 4</w:t>
      </w:r>
    </w:p>
    <w:p w:rsidR="00536DC3" w:rsidRDefault="00536DC3" w:rsidP="003F0D26"/>
    <w:tbl>
      <w:tblPr>
        <w:tblpPr w:leftFromText="180" w:rightFromText="180" w:vertAnchor="text" w:tblpY="1"/>
        <w:tblOverlap w:val="never"/>
        <w:tblW w:w="5880" w:type="dxa"/>
        <w:tblInd w:w="91" w:type="dxa"/>
        <w:tblLook w:val="04A0"/>
      </w:tblPr>
      <w:tblGrid>
        <w:gridCol w:w="1828"/>
        <w:gridCol w:w="1041"/>
        <w:gridCol w:w="1072"/>
        <w:gridCol w:w="1041"/>
        <w:gridCol w:w="1041"/>
      </w:tblGrid>
      <w:tr w:rsidR="003935AD" w:rsidRPr="003935AD" w:rsidTr="002A776F">
        <w:trPr>
          <w:trHeight w:val="465"/>
        </w:trPr>
        <w:tc>
          <w:tcPr>
            <w:tcW w:w="5880" w:type="dxa"/>
            <w:gridSpan w:val="5"/>
            <w:tcBorders>
              <w:top w:val="nil"/>
              <w:left w:val="nil"/>
              <w:bottom w:val="nil"/>
              <w:right w:val="nil"/>
            </w:tcBorders>
            <w:shd w:val="clear" w:color="auto" w:fill="auto"/>
            <w:noWrap/>
            <w:vAlign w:val="bottom"/>
            <w:hideMark/>
          </w:tcPr>
          <w:p w:rsidR="003935AD" w:rsidRPr="003935AD" w:rsidRDefault="003935AD" w:rsidP="002A776F">
            <w:pPr>
              <w:rPr>
                <w:rFonts w:eastAsia="Times New Roman"/>
                <w:b/>
                <w:bCs/>
                <w:color w:val="000000"/>
                <w:sz w:val="28"/>
                <w:szCs w:val="28"/>
              </w:rPr>
            </w:pPr>
            <w:r w:rsidRPr="003935AD">
              <w:rPr>
                <w:rFonts w:eastAsia="Times New Roman"/>
                <w:b/>
                <w:bCs/>
                <w:color w:val="000000"/>
                <w:sz w:val="28"/>
                <w:szCs w:val="28"/>
              </w:rPr>
              <w:t>Productivity Analysis Per Employee</w:t>
            </w:r>
          </w:p>
        </w:tc>
      </w:tr>
      <w:tr w:rsidR="003935AD" w:rsidRPr="003935AD" w:rsidTr="002A776F">
        <w:trPr>
          <w:trHeight w:val="285"/>
        </w:trPr>
        <w:tc>
          <w:tcPr>
            <w:tcW w:w="1828" w:type="dxa"/>
            <w:tcBorders>
              <w:top w:val="nil"/>
              <w:left w:val="nil"/>
              <w:bottom w:val="nil"/>
              <w:right w:val="nil"/>
            </w:tcBorders>
            <w:shd w:val="clear" w:color="auto" w:fill="auto"/>
            <w:noWrap/>
            <w:vAlign w:val="bottom"/>
            <w:hideMark/>
          </w:tcPr>
          <w:p w:rsidR="003935AD" w:rsidRPr="003935AD" w:rsidRDefault="003935AD" w:rsidP="002A776F">
            <w:pPr>
              <w:jc w:val="center"/>
              <w:rPr>
                <w:rFonts w:eastAsia="Times New Roman"/>
                <w:b/>
                <w:bCs/>
                <w:color w:val="000000"/>
                <w:sz w:val="28"/>
                <w:szCs w:val="28"/>
              </w:rPr>
            </w:pPr>
          </w:p>
        </w:tc>
        <w:tc>
          <w:tcPr>
            <w:tcW w:w="1004" w:type="dxa"/>
            <w:tcBorders>
              <w:top w:val="nil"/>
              <w:left w:val="nil"/>
              <w:bottom w:val="nil"/>
              <w:right w:val="nil"/>
            </w:tcBorders>
            <w:shd w:val="clear" w:color="auto" w:fill="auto"/>
            <w:noWrap/>
            <w:vAlign w:val="bottom"/>
            <w:hideMark/>
          </w:tcPr>
          <w:p w:rsidR="003935AD" w:rsidRPr="003935AD" w:rsidRDefault="003935AD" w:rsidP="002A776F">
            <w:pPr>
              <w:jc w:val="center"/>
              <w:rPr>
                <w:rFonts w:eastAsia="Times New Roman"/>
                <w:color w:val="000000"/>
                <w:sz w:val="22"/>
              </w:rPr>
            </w:pPr>
          </w:p>
        </w:tc>
        <w:tc>
          <w:tcPr>
            <w:tcW w:w="1040" w:type="dxa"/>
            <w:tcBorders>
              <w:top w:val="nil"/>
              <w:left w:val="nil"/>
              <w:bottom w:val="nil"/>
              <w:right w:val="nil"/>
            </w:tcBorders>
            <w:shd w:val="clear" w:color="auto" w:fill="auto"/>
            <w:noWrap/>
            <w:vAlign w:val="bottom"/>
            <w:hideMark/>
          </w:tcPr>
          <w:p w:rsidR="003935AD" w:rsidRPr="003935AD" w:rsidRDefault="003935AD" w:rsidP="002A776F">
            <w:pPr>
              <w:jc w:val="center"/>
              <w:rPr>
                <w:rFonts w:eastAsia="Times New Roman"/>
                <w:color w:val="000000"/>
                <w:sz w:val="22"/>
              </w:rPr>
            </w:pPr>
          </w:p>
        </w:tc>
        <w:tc>
          <w:tcPr>
            <w:tcW w:w="1004" w:type="dxa"/>
            <w:tcBorders>
              <w:top w:val="nil"/>
              <w:left w:val="nil"/>
              <w:bottom w:val="nil"/>
              <w:right w:val="nil"/>
            </w:tcBorders>
            <w:shd w:val="clear" w:color="auto" w:fill="auto"/>
            <w:noWrap/>
            <w:vAlign w:val="bottom"/>
            <w:hideMark/>
          </w:tcPr>
          <w:p w:rsidR="003935AD" w:rsidRPr="003935AD" w:rsidRDefault="003935AD" w:rsidP="002A776F">
            <w:pPr>
              <w:jc w:val="center"/>
              <w:rPr>
                <w:rFonts w:eastAsia="Times New Roman"/>
                <w:color w:val="000000"/>
                <w:sz w:val="22"/>
              </w:rPr>
            </w:pPr>
          </w:p>
        </w:tc>
        <w:tc>
          <w:tcPr>
            <w:tcW w:w="1004" w:type="dxa"/>
            <w:tcBorders>
              <w:top w:val="nil"/>
              <w:left w:val="nil"/>
              <w:bottom w:val="nil"/>
              <w:right w:val="nil"/>
            </w:tcBorders>
            <w:shd w:val="clear" w:color="auto" w:fill="auto"/>
            <w:noWrap/>
            <w:vAlign w:val="bottom"/>
            <w:hideMark/>
          </w:tcPr>
          <w:p w:rsidR="003935AD" w:rsidRPr="003935AD" w:rsidRDefault="003935AD" w:rsidP="002A776F">
            <w:pPr>
              <w:jc w:val="center"/>
              <w:rPr>
                <w:rFonts w:eastAsia="Times New Roman"/>
                <w:color w:val="000000"/>
                <w:sz w:val="22"/>
              </w:rPr>
            </w:pPr>
          </w:p>
        </w:tc>
      </w:tr>
      <w:tr w:rsidR="003935AD" w:rsidRPr="003935AD" w:rsidTr="002A776F">
        <w:trPr>
          <w:trHeight w:val="300"/>
        </w:trPr>
        <w:tc>
          <w:tcPr>
            <w:tcW w:w="1828" w:type="dxa"/>
            <w:tcBorders>
              <w:top w:val="single" w:sz="4" w:space="0" w:color="auto"/>
              <w:left w:val="single" w:sz="4" w:space="0" w:color="auto"/>
              <w:bottom w:val="nil"/>
              <w:right w:val="nil"/>
            </w:tcBorders>
            <w:shd w:val="clear" w:color="auto" w:fill="auto"/>
            <w:noWrap/>
            <w:vAlign w:val="bottom"/>
            <w:hideMark/>
          </w:tcPr>
          <w:p w:rsidR="003935AD" w:rsidRPr="003935AD" w:rsidRDefault="003935AD" w:rsidP="002A776F">
            <w:pPr>
              <w:rPr>
                <w:rFonts w:eastAsia="Times New Roman"/>
                <w:b/>
                <w:bCs/>
                <w:color w:val="000000"/>
                <w:sz w:val="22"/>
              </w:rPr>
            </w:pPr>
            <w:r w:rsidRPr="003935AD">
              <w:rPr>
                <w:rFonts w:eastAsia="Times New Roman"/>
                <w:b/>
                <w:bCs/>
                <w:color w:val="000000"/>
                <w:sz w:val="22"/>
              </w:rPr>
              <w:t> </w:t>
            </w:r>
          </w:p>
        </w:tc>
        <w:tc>
          <w:tcPr>
            <w:tcW w:w="4052" w:type="dxa"/>
            <w:gridSpan w:val="4"/>
            <w:tcBorders>
              <w:top w:val="single" w:sz="4" w:space="0" w:color="auto"/>
              <w:left w:val="nil"/>
              <w:bottom w:val="nil"/>
              <w:right w:val="single" w:sz="4" w:space="0" w:color="000000"/>
            </w:tcBorders>
            <w:shd w:val="clear" w:color="auto" w:fill="auto"/>
            <w:noWrap/>
            <w:vAlign w:val="bottom"/>
            <w:hideMark/>
          </w:tcPr>
          <w:p w:rsidR="003935AD" w:rsidRPr="003935AD" w:rsidRDefault="003935AD" w:rsidP="002A776F">
            <w:pPr>
              <w:jc w:val="center"/>
              <w:rPr>
                <w:rFonts w:eastAsia="Times New Roman"/>
                <w:b/>
                <w:bCs/>
                <w:color w:val="000000"/>
                <w:sz w:val="22"/>
              </w:rPr>
            </w:pPr>
            <w:r w:rsidRPr="003935AD">
              <w:rPr>
                <w:rFonts w:eastAsia="Times New Roman"/>
                <w:b/>
                <w:bCs/>
                <w:color w:val="000000"/>
                <w:sz w:val="22"/>
              </w:rPr>
              <w:t>Plants</w:t>
            </w:r>
          </w:p>
        </w:tc>
      </w:tr>
      <w:tr w:rsidR="003935AD" w:rsidRPr="003935AD" w:rsidTr="002A776F">
        <w:trPr>
          <w:trHeight w:val="600"/>
        </w:trPr>
        <w:tc>
          <w:tcPr>
            <w:tcW w:w="1828" w:type="dxa"/>
            <w:tcBorders>
              <w:top w:val="nil"/>
              <w:left w:val="single" w:sz="4" w:space="0" w:color="auto"/>
              <w:bottom w:val="single" w:sz="4" w:space="0" w:color="auto"/>
              <w:right w:val="nil"/>
            </w:tcBorders>
            <w:shd w:val="clear" w:color="auto" w:fill="auto"/>
            <w:vAlign w:val="bottom"/>
            <w:hideMark/>
          </w:tcPr>
          <w:p w:rsidR="003935AD" w:rsidRPr="003935AD" w:rsidRDefault="003935AD" w:rsidP="002A776F">
            <w:pPr>
              <w:rPr>
                <w:rFonts w:eastAsia="Times New Roman"/>
                <w:b/>
                <w:bCs/>
                <w:color w:val="000000"/>
                <w:sz w:val="22"/>
              </w:rPr>
            </w:pPr>
            <w:r w:rsidRPr="003935AD">
              <w:rPr>
                <w:rFonts w:eastAsia="Times New Roman"/>
                <w:b/>
                <w:bCs/>
                <w:color w:val="000000"/>
                <w:sz w:val="22"/>
              </w:rPr>
              <w:t>Labor (Number of Workers)</w:t>
            </w:r>
          </w:p>
        </w:tc>
        <w:tc>
          <w:tcPr>
            <w:tcW w:w="1004" w:type="dxa"/>
            <w:tcBorders>
              <w:top w:val="nil"/>
              <w:left w:val="nil"/>
              <w:bottom w:val="single" w:sz="4" w:space="0" w:color="auto"/>
              <w:right w:val="nil"/>
            </w:tcBorders>
            <w:shd w:val="clear" w:color="auto" w:fill="auto"/>
            <w:noWrap/>
            <w:vAlign w:val="bottom"/>
            <w:hideMark/>
          </w:tcPr>
          <w:p w:rsidR="003935AD" w:rsidRPr="003935AD" w:rsidRDefault="003935AD" w:rsidP="002A776F">
            <w:pPr>
              <w:jc w:val="center"/>
              <w:rPr>
                <w:rFonts w:eastAsia="Times New Roman"/>
                <w:i/>
                <w:iCs/>
                <w:color w:val="000000"/>
                <w:sz w:val="22"/>
              </w:rPr>
            </w:pPr>
            <w:r w:rsidRPr="003935AD">
              <w:rPr>
                <w:rFonts w:eastAsia="Times New Roman"/>
                <w:i/>
                <w:iCs/>
                <w:color w:val="000000"/>
                <w:sz w:val="22"/>
              </w:rPr>
              <w:t>Mexico</w:t>
            </w:r>
          </w:p>
        </w:tc>
        <w:tc>
          <w:tcPr>
            <w:tcW w:w="1040" w:type="dxa"/>
            <w:tcBorders>
              <w:top w:val="nil"/>
              <w:left w:val="nil"/>
              <w:bottom w:val="single" w:sz="4" w:space="0" w:color="auto"/>
              <w:right w:val="nil"/>
            </w:tcBorders>
            <w:shd w:val="clear" w:color="auto" w:fill="auto"/>
            <w:noWrap/>
            <w:vAlign w:val="bottom"/>
            <w:hideMark/>
          </w:tcPr>
          <w:p w:rsidR="003935AD" w:rsidRPr="003935AD" w:rsidRDefault="003935AD" w:rsidP="002A776F">
            <w:pPr>
              <w:jc w:val="center"/>
              <w:rPr>
                <w:rFonts w:eastAsia="Times New Roman"/>
                <w:i/>
                <w:iCs/>
                <w:color w:val="000000"/>
                <w:sz w:val="22"/>
              </w:rPr>
            </w:pPr>
            <w:r w:rsidRPr="003935AD">
              <w:rPr>
                <w:rFonts w:eastAsia="Times New Roman"/>
                <w:i/>
                <w:iCs/>
                <w:color w:val="000000"/>
                <w:sz w:val="22"/>
              </w:rPr>
              <w:t>Frankfurt</w:t>
            </w:r>
          </w:p>
        </w:tc>
        <w:tc>
          <w:tcPr>
            <w:tcW w:w="1004" w:type="dxa"/>
            <w:tcBorders>
              <w:top w:val="nil"/>
              <w:left w:val="nil"/>
              <w:bottom w:val="single" w:sz="4" w:space="0" w:color="auto"/>
              <w:right w:val="nil"/>
            </w:tcBorders>
            <w:shd w:val="clear" w:color="auto" w:fill="auto"/>
            <w:noWrap/>
            <w:vAlign w:val="bottom"/>
            <w:hideMark/>
          </w:tcPr>
          <w:p w:rsidR="003935AD" w:rsidRPr="003935AD" w:rsidRDefault="003935AD" w:rsidP="002A776F">
            <w:pPr>
              <w:jc w:val="center"/>
              <w:rPr>
                <w:rFonts w:eastAsia="Times New Roman"/>
                <w:i/>
                <w:iCs/>
                <w:color w:val="000000"/>
                <w:sz w:val="22"/>
              </w:rPr>
            </w:pPr>
            <w:r w:rsidRPr="003935AD">
              <w:rPr>
                <w:rFonts w:eastAsia="Times New Roman"/>
                <w:i/>
                <w:iCs/>
                <w:color w:val="000000"/>
                <w:sz w:val="22"/>
              </w:rPr>
              <w:t>Gary</w:t>
            </w:r>
          </w:p>
        </w:tc>
        <w:tc>
          <w:tcPr>
            <w:tcW w:w="1004" w:type="dxa"/>
            <w:tcBorders>
              <w:top w:val="nil"/>
              <w:left w:val="nil"/>
              <w:bottom w:val="single" w:sz="4" w:space="0" w:color="auto"/>
              <w:right w:val="single" w:sz="4" w:space="0" w:color="auto"/>
            </w:tcBorders>
            <w:shd w:val="clear" w:color="auto" w:fill="auto"/>
            <w:noWrap/>
            <w:vAlign w:val="bottom"/>
            <w:hideMark/>
          </w:tcPr>
          <w:p w:rsidR="003935AD" w:rsidRPr="003935AD" w:rsidRDefault="003935AD" w:rsidP="002A776F">
            <w:pPr>
              <w:jc w:val="center"/>
              <w:rPr>
                <w:rFonts w:eastAsia="Times New Roman"/>
                <w:i/>
                <w:iCs/>
                <w:color w:val="000000"/>
                <w:sz w:val="22"/>
              </w:rPr>
            </w:pPr>
            <w:proofErr w:type="spellStart"/>
            <w:r w:rsidRPr="003935AD">
              <w:rPr>
                <w:rFonts w:eastAsia="Times New Roman"/>
                <w:i/>
                <w:iCs/>
                <w:color w:val="000000"/>
                <w:sz w:val="22"/>
              </w:rPr>
              <w:t>Sunchem</w:t>
            </w:r>
            <w:proofErr w:type="spellEnd"/>
          </w:p>
        </w:tc>
      </w:tr>
      <w:tr w:rsidR="003935AD" w:rsidRPr="003935AD" w:rsidTr="002A776F">
        <w:trPr>
          <w:trHeight w:val="300"/>
        </w:trPr>
        <w:tc>
          <w:tcPr>
            <w:tcW w:w="1828" w:type="dxa"/>
            <w:tcBorders>
              <w:top w:val="nil"/>
              <w:left w:val="single" w:sz="4" w:space="0" w:color="auto"/>
              <w:bottom w:val="nil"/>
              <w:right w:val="nil"/>
            </w:tcBorders>
            <w:shd w:val="clear" w:color="auto" w:fill="auto"/>
            <w:noWrap/>
            <w:vAlign w:val="bottom"/>
            <w:hideMark/>
          </w:tcPr>
          <w:p w:rsidR="003935AD" w:rsidRPr="003935AD" w:rsidRDefault="003935AD" w:rsidP="002A776F">
            <w:pPr>
              <w:jc w:val="right"/>
              <w:rPr>
                <w:rFonts w:eastAsia="Times New Roman"/>
                <w:i/>
                <w:iCs/>
                <w:color w:val="000000"/>
                <w:sz w:val="22"/>
              </w:rPr>
            </w:pPr>
            <w:r w:rsidRPr="003935AD">
              <w:rPr>
                <w:rFonts w:eastAsia="Times New Roman"/>
                <w:i/>
                <w:iCs/>
                <w:color w:val="000000"/>
                <w:sz w:val="22"/>
              </w:rPr>
              <w:t>Direct</w:t>
            </w:r>
          </w:p>
        </w:tc>
        <w:tc>
          <w:tcPr>
            <w:tcW w:w="1004" w:type="dxa"/>
            <w:tcBorders>
              <w:top w:val="nil"/>
              <w:left w:val="nil"/>
              <w:bottom w:val="nil"/>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20</w:t>
            </w:r>
          </w:p>
        </w:tc>
        <w:tc>
          <w:tcPr>
            <w:tcW w:w="1040" w:type="dxa"/>
            <w:tcBorders>
              <w:top w:val="nil"/>
              <w:left w:val="nil"/>
              <w:bottom w:val="nil"/>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46</w:t>
            </w:r>
          </w:p>
        </w:tc>
        <w:tc>
          <w:tcPr>
            <w:tcW w:w="1004" w:type="dxa"/>
            <w:tcBorders>
              <w:top w:val="nil"/>
              <w:left w:val="nil"/>
              <w:bottom w:val="nil"/>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24</w:t>
            </w:r>
          </w:p>
        </w:tc>
        <w:tc>
          <w:tcPr>
            <w:tcW w:w="1004" w:type="dxa"/>
            <w:tcBorders>
              <w:top w:val="nil"/>
              <w:left w:val="nil"/>
              <w:bottom w:val="nil"/>
              <w:right w:val="single" w:sz="4" w:space="0" w:color="auto"/>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14</w:t>
            </w:r>
          </w:p>
        </w:tc>
      </w:tr>
      <w:tr w:rsidR="003935AD" w:rsidRPr="003935AD" w:rsidTr="002A776F">
        <w:trPr>
          <w:trHeight w:val="315"/>
        </w:trPr>
        <w:tc>
          <w:tcPr>
            <w:tcW w:w="1828" w:type="dxa"/>
            <w:tcBorders>
              <w:top w:val="nil"/>
              <w:left w:val="single" w:sz="4" w:space="0" w:color="auto"/>
              <w:bottom w:val="double" w:sz="6" w:space="0" w:color="auto"/>
              <w:right w:val="nil"/>
            </w:tcBorders>
            <w:shd w:val="clear" w:color="auto" w:fill="auto"/>
            <w:noWrap/>
            <w:vAlign w:val="bottom"/>
            <w:hideMark/>
          </w:tcPr>
          <w:p w:rsidR="003935AD" w:rsidRPr="003935AD" w:rsidRDefault="003935AD" w:rsidP="002A776F">
            <w:pPr>
              <w:jc w:val="right"/>
              <w:rPr>
                <w:rFonts w:eastAsia="Times New Roman"/>
                <w:i/>
                <w:iCs/>
                <w:color w:val="000000"/>
                <w:sz w:val="22"/>
              </w:rPr>
            </w:pPr>
            <w:r w:rsidRPr="003935AD">
              <w:rPr>
                <w:rFonts w:eastAsia="Times New Roman"/>
                <w:i/>
                <w:iCs/>
                <w:color w:val="000000"/>
                <w:sz w:val="22"/>
              </w:rPr>
              <w:t>Indirect</w:t>
            </w:r>
          </w:p>
        </w:tc>
        <w:tc>
          <w:tcPr>
            <w:tcW w:w="1004" w:type="dxa"/>
            <w:tcBorders>
              <w:top w:val="nil"/>
              <w:left w:val="nil"/>
              <w:bottom w:val="double" w:sz="6"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25</w:t>
            </w:r>
          </w:p>
        </w:tc>
        <w:tc>
          <w:tcPr>
            <w:tcW w:w="1040" w:type="dxa"/>
            <w:tcBorders>
              <w:top w:val="nil"/>
              <w:left w:val="nil"/>
              <w:bottom w:val="double" w:sz="6"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40</w:t>
            </w:r>
          </w:p>
        </w:tc>
        <w:tc>
          <w:tcPr>
            <w:tcW w:w="1004" w:type="dxa"/>
            <w:tcBorders>
              <w:top w:val="nil"/>
              <w:left w:val="nil"/>
              <w:bottom w:val="double" w:sz="6"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34</w:t>
            </w:r>
          </w:p>
        </w:tc>
        <w:tc>
          <w:tcPr>
            <w:tcW w:w="1004" w:type="dxa"/>
            <w:tcBorders>
              <w:top w:val="nil"/>
              <w:left w:val="nil"/>
              <w:bottom w:val="double" w:sz="6" w:space="0" w:color="auto"/>
              <w:right w:val="single" w:sz="4" w:space="0" w:color="auto"/>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17</w:t>
            </w:r>
          </w:p>
        </w:tc>
      </w:tr>
      <w:tr w:rsidR="003935AD" w:rsidRPr="003935AD" w:rsidTr="002A776F">
        <w:trPr>
          <w:trHeight w:val="315"/>
        </w:trPr>
        <w:tc>
          <w:tcPr>
            <w:tcW w:w="1828" w:type="dxa"/>
            <w:tcBorders>
              <w:top w:val="nil"/>
              <w:left w:val="single" w:sz="4" w:space="0" w:color="auto"/>
              <w:bottom w:val="nil"/>
              <w:right w:val="nil"/>
            </w:tcBorders>
            <w:shd w:val="clear" w:color="auto" w:fill="auto"/>
            <w:noWrap/>
            <w:vAlign w:val="bottom"/>
            <w:hideMark/>
          </w:tcPr>
          <w:p w:rsidR="003935AD" w:rsidRPr="003935AD" w:rsidRDefault="003935AD" w:rsidP="002A776F">
            <w:pPr>
              <w:jc w:val="right"/>
              <w:rPr>
                <w:rFonts w:eastAsia="Times New Roman"/>
                <w:i/>
                <w:iCs/>
                <w:color w:val="000000"/>
                <w:sz w:val="22"/>
              </w:rPr>
            </w:pPr>
            <w:r w:rsidRPr="003935AD">
              <w:rPr>
                <w:rFonts w:eastAsia="Times New Roman"/>
                <w:i/>
                <w:iCs/>
                <w:color w:val="000000"/>
                <w:sz w:val="22"/>
              </w:rPr>
              <w:t>Total</w:t>
            </w:r>
          </w:p>
        </w:tc>
        <w:tc>
          <w:tcPr>
            <w:tcW w:w="1004" w:type="dxa"/>
            <w:tcBorders>
              <w:top w:val="nil"/>
              <w:left w:val="nil"/>
              <w:bottom w:val="nil"/>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45</w:t>
            </w:r>
          </w:p>
        </w:tc>
        <w:tc>
          <w:tcPr>
            <w:tcW w:w="1040" w:type="dxa"/>
            <w:tcBorders>
              <w:top w:val="nil"/>
              <w:left w:val="nil"/>
              <w:bottom w:val="nil"/>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86</w:t>
            </w:r>
          </w:p>
        </w:tc>
        <w:tc>
          <w:tcPr>
            <w:tcW w:w="1004" w:type="dxa"/>
            <w:tcBorders>
              <w:top w:val="nil"/>
              <w:left w:val="nil"/>
              <w:bottom w:val="nil"/>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58</w:t>
            </w:r>
          </w:p>
        </w:tc>
        <w:tc>
          <w:tcPr>
            <w:tcW w:w="1004" w:type="dxa"/>
            <w:tcBorders>
              <w:top w:val="nil"/>
              <w:left w:val="nil"/>
              <w:bottom w:val="nil"/>
              <w:right w:val="single" w:sz="4" w:space="0" w:color="auto"/>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31</w:t>
            </w:r>
          </w:p>
        </w:tc>
      </w:tr>
      <w:tr w:rsidR="003935AD" w:rsidRPr="003935AD" w:rsidTr="002A776F">
        <w:trPr>
          <w:trHeight w:val="300"/>
        </w:trPr>
        <w:tc>
          <w:tcPr>
            <w:tcW w:w="1828" w:type="dxa"/>
            <w:tcBorders>
              <w:top w:val="nil"/>
              <w:left w:val="single" w:sz="4" w:space="0" w:color="auto"/>
              <w:bottom w:val="nil"/>
              <w:right w:val="nil"/>
            </w:tcBorders>
            <w:shd w:val="clear" w:color="auto" w:fill="auto"/>
            <w:noWrap/>
            <w:vAlign w:val="bottom"/>
            <w:hideMark/>
          </w:tcPr>
          <w:p w:rsidR="003935AD" w:rsidRPr="003935AD" w:rsidRDefault="003935AD" w:rsidP="002A776F">
            <w:pPr>
              <w:rPr>
                <w:rFonts w:eastAsia="Times New Roman"/>
                <w:color w:val="000000"/>
                <w:sz w:val="22"/>
              </w:rPr>
            </w:pPr>
            <w:r w:rsidRPr="003935AD">
              <w:rPr>
                <w:rFonts w:eastAsia="Times New Roman"/>
                <w:color w:val="000000"/>
                <w:sz w:val="22"/>
              </w:rPr>
              <w:t> </w:t>
            </w:r>
          </w:p>
        </w:tc>
        <w:tc>
          <w:tcPr>
            <w:tcW w:w="1004" w:type="dxa"/>
            <w:tcBorders>
              <w:top w:val="nil"/>
              <w:left w:val="nil"/>
              <w:bottom w:val="nil"/>
              <w:right w:val="nil"/>
            </w:tcBorders>
            <w:shd w:val="clear" w:color="auto" w:fill="auto"/>
            <w:noWrap/>
            <w:vAlign w:val="bottom"/>
            <w:hideMark/>
          </w:tcPr>
          <w:p w:rsidR="003935AD" w:rsidRPr="003935AD" w:rsidRDefault="003935AD" w:rsidP="002A776F">
            <w:pPr>
              <w:rPr>
                <w:rFonts w:eastAsia="Times New Roman"/>
                <w:color w:val="000000"/>
                <w:sz w:val="22"/>
              </w:rPr>
            </w:pPr>
          </w:p>
        </w:tc>
        <w:tc>
          <w:tcPr>
            <w:tcW w:w="1040" w:type="dxa"/>
            <w:tcBorders>
              <w:top w:val="nil"/>
              <w:left w:val="nil"/>
              <w:bottom w:val="nil"/>
              <w:right w:val="nil"/>
            </w:tcBorders>
            <w:shd w:val="clear" w:color="auto" w:fill="auto"/>
            <w:noWrap/>
            <w:vAlign w:val="bottom"/>
            <w:hideMark/>
          </w:tcPr>
          <w:p w:rsidR="003935AD" w:rsidRPr="003935AD" w:rsidRDefault="003935AD" w:rsidP="002A776F">
            <w:pPr>
              <w:rPr>
                <w:rFonts w:eastAsia="Times New Roman"/>
                <w:color w:val="000000"/>
                <w:sz w:val="22"/>
              </w:rPr>
            </w:pPr>
          </w:p>
        </w:tc>
        <w:tc>
          <w:tcPr>
            <w:tcW w:w="1004" w:type="dxa"/>
            <w:tcBorders>
              <w:top w:val="nil"/>
              <w:left w:val="nil"/>
              <w:bottom w:val="nil"/>
              <w:right w:val="nil"/>
            </w:tcBorders>
            <w:shd w:val="clear" w:color="auto" w:fill="auto"/>
            <w:noWrap/>
            <w:vAlign w:val="bottom"/>
            <w:hideMark/>
          </w:tcPr>
          <w:p w:rsidR="003935AD" w:rsidRPr="003935AD" w:rsidRDefault="003935AD" w:rsidP="002A776F">
            <w:pPr>
              <w:rPr>
                <w:rFonts w:eastAsia="Times New Roman"/>
                <w:color w:val="000000"/>
                <w:sz w:val="22"/>
              </w:rPr>
            </w:pPr>
          </w:p>
        </w:tc>
        <w:tc>
          <w:tcPr>
            <w:tcW w:w="1004" w:type="dxa"/>
            <w:tcBorders>
              <w:top w:val="nil"/>
              <w:left w:val="nil"/>
              <w:bottom w:val="nil"/>
              <w:right w:val="single" w:sz="4" w:space="0" w:color="auto"/>
            </w:tcBorders>
            <w:shd w:val="clear" w:color="auto" w:fill="auto"/>
            <w:noWrap/>
            <w:vAlign w:val="bottom"/>
            <w:hideMark/>
          </w:tcPr>
          <w:p w:rsidR="003935AD" w:rsidRPr="003935AD" w:rsidRDefault="003935AD" w:rsidP="002A776F">
            <w:pPr>
              <w:rPr>
                <w:rFonts w:eastAsia="Times New Roman"/>
                <w:color w:val="000000"/>
                <w:sz w:val="22"/>
              </w:rPr>
            </w:pPr>
            <w:r w:rsidRPr="003935AD">
              <w:rPr>
                <w:rFonts w:eastAsia="Times New Roman"/>
                <w:color w:val="000000"/>
                <w:sz w:val="22"/>
              </w:rPr>
              <w:t> </w:t>
            </w:r>
          </w:p>
        </w:tc>
      </w:tr>
      <w:tr w:rsidR="003935AD" w:rsidRPr="003935AD" w:rsidTr="002A776F">
        <w:trPr>
          <w:trHeight w:val="570"/>
        </w:trPr>
        <w:tc>
          <w:tcPr>
            <w:tcW w:w="1828" w:type="dxa"/>
            <w:tcBorders>
              <w:top w:val="nil"/>
              <w:left w:val="single" w:sz="4" w:space="0" w:color="auto"/>
              <w:bottom w:val="double" w:sz="6" w:space="0" w:color="auto"/>
              <w:right w:val="nil"/>
            </w:tcBorders>
            <w:shd w:val="clear" w:color="auto" w:fill="auto"/>
            <w:vAlign w:val="bottom"/>
            <w:hideMark/>
          </w:tcPr>
          <w:p w:rsidR="003935AD" w:rsidRPr="003935AD" w:rsidRDefault="003935AD" w:rsidP="002A776F">
            <w:pPr>
              <w:rPr>
                <w:rFonts w:eastAsia="Times New Roman"/>
                <w:b/>
                <w:bCs/>
                <w:color w:val="000000"/>
                <w:sz w:val="22"/>
              </w:rPr>
            </w:pPr>
            <w:r>
              <w:rPr>
                <w:rFonts w:eastAsia="Times New Roman"/>
                <w:b/>
                <w:bCs/>
                <w:color w:val="000000"/>
                <w:sz w:val="22"/>
              </w:rPr>
              <w:t>Production Volume (I</w:t>
            </w:r>
            <w:r w:rsidRPr="003935AD">
              <w:rPr>
                <w:rFonts w:eastAsia="Times New Roman"/>
                <w:b/>
                <w:bCs/>
                <w:color w:val="000000"/>
                <w:sz w:val="22"/>
              </w:rPr>
              <w:t>n millions)</w:t>
            </w:r>
          </w:p>
        </w:tc>
        <w:tc>
          <w:tcPr>
            <w:tcW w:w="1004" w:type="dxa"/>
            <w:tcBorders>
              <w:top w:val="nil"/>
              <w:left w:val="nil"/>
              <w:bottom w:val="double" w:sz="6"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17.2</w:t>
            </w:r>
          </w:p>
        </w:tc>
        <w:tc>
          <w:tcPr>
            <w:tcW w:w="1040" w:type="dxa"/>
            <w:tcBorders>
              <w:top w:val="nil"/>
              <w:left w:val="nil"/>
              <w:bottom w:val="double" w:sz="6"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38</w:t>
            </w:r>
          </w:p>
        </w:tc>
        <w:tc>
          <w:tcPr>
            <w:tcW w:w="1004" w:type="dxa"/>
            <w:tcBorders>
              <w:top w:val="nil"/>
              <w:left w:val="nil"/>
              <w:bottom w:val="double" w:sz="6"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14</w:t>
            </w:r>
          </w:p>
        </w:tc>
        <w:tc>
          <w:tcPr>
            <w:tcW w:w="1004" w:type="dxa"/>
            <w:tcBorders>
              <w:top w:val="nil"/>
              <w:left w:val="nil"/>
              <w:bottom w:val="double" w:sz="6" w:space="0" w:color="auto"/>
              <w:right w:val="single" w:sz="4" w:space="0" w:color="auto"/>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4</w:t>
            </w:r>
          </w:p>
        </w:tc>
      </w:tr>
      <w:tr w:rsidR="003935AD" w:rsidRPr="003935AD" w:rsidTr="002A776F">
        <w:trPr>
          <w:trHeight w:val="735"/>
        </w:trPr>
        <w:tc>
          <w:tcPr>
            <w:tcW w:w="1828" w:type="dxa"/>
            <w:tcBorders>
              <w:top w:val="nil"/>
              <w:left w:val="single" w:sz="4" w:space="0" w:color="auto"/>
              <w:bottom w:val="single" w:sz="4" w:space="0" w:color="auto"/>
              <w:right w:val="nil"/>
            </w:tcBorders>
            <w:shd w:val="clear" w:color="auto" w:fill="auto"/>
            <w:vAlign w:val="bottom"/>
            <w:hideMark/>
          </w:tcPr>
          <w:p w:rsidR="003935AD" w:rsidRPr="003935AD" w:rsidRDefault="003935AD" w:rsidP="002A776F">
            <w:pPr>
              <w:rPr>
                <w:rFonts w:eastAsia="Times New Roman"/>
                <w:b/>
                <w:bCs/>
                <w:color w:val="000000"/>
                <w:sz w:val="22"/>
              </w:rPr>
            </w:pPr>
            <w:r w:rsidRPr="003935AD">
              <w:rPr>
                <w:rFonts w:eastAsia="Times New Roman"/>
                <w:b/>
                <w:bCs/>
                <w:color w:val="000000"/>
                <w:sz w:val="22"/>
              </w:rPr>
              <w:t>Volume Per Employee</w:t>
            </w:r>
          </w:p>
        </w:tc>
        <w:tc>
          <w:tcPr>
            <w:tcW w:w="1004" w:type="dxa"/>
            <w:tcBorders>
              <w:top w:val="nil"/>
              <w:left w:val="nil"/>
              <w:bottom w:val="single" w:sz="4"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0.382222</w:t>
            </w:r>
          </w:p>
        </w:tc>
        <w:tc>
          <w:tcPr>
            <w:tcW w:w="1040" w:type="dxa"/>
            <w:tcBorders>
              <w:top w:val="nil"/>
              <w:left w:val="nil"/>
              <w:bottom w:val="single" w:sz="4"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0.44186</w:t>
            </w:r>
          </w:p>
        </w:tc>
        <w:tc>
          <w:tcPr>
            <w:tcW w:w="1004" w:type="dxa"/>
            <w:tcBorders>
              <w:top w:val="nil"/>
              <w:left w:val="nil"/>
              <w:bottom w:val="single" w:sz="4" w:space="0" w:color="auto"/>
              <w:right w:val="nil"/>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0.241379</w:t>
            </w:r>
          </w:p>
        </w:tc>
        <w:tc>
          <w:tcPr>
            <w:tcW w:w="1004" w:type="dxa"/>
            <w:tcBorders>
              <w:top w:val="nil"/>
              <w:left w:val="nil"/>
              <w:bottom w:val="single" w:sz="4" w:space="0" w:color="auto"/>
              <w:right w:val="single" w:sz="4" w:space="0" w:color="auto"/>
            </w:tcBorders>
            <w:shd w:val="clear" w:color="auto" w:fill="auto"/>
            <w:noWrap/>
            <w:vAlign w:val="bottom"/>
            <w:hideMark/>
          </w:tcPr>
          <w:p w:rsidR="003935AD" w:rsidRPr="003935AD" w:rsidRDefault="003935AD" w:rsidP="002A776F">
            <w:pPr>
              <w:jc w:val="right"/>
              <w:rPr>
                <w:rFonts w:eastAsia="Times New Roman"/>
                <w:color w:val="000000"/>
                <w:sz w:val="22"/>
              </w:rPr>
            </w:pPr>
            <w:r w:rsidRPr="003935AD">
              <w:rPr>
                <w:rFonts w:eastAsia="Times New Roman"/>
                <w:color w:val="000000"/>
                <w:sz w:val="22"/>
              </w:rPr>
              <w:t>0.129032</w:t>
            </w:r>
          </w:p>
        </w:tc>
      </w:tr>
    </w:tbl>
    <w:p w:rsidR="00BF642B" w:rsidRDefault="002A776F" w:rsidP="003F0D26">
      <w:r>
        <w:br w:type="textWrapping" w:clear="all"/>
      </w:r>
    </w:p>
    <w:p w:rsidR="002A776F" w:rsidRPr="002A776F" w:rsidRDefault="002A776F" w:rsidP="003F0D26">
      <w:pPr>
        <w:rPr>
          <w:rFonts w:eastAsia="Times New Roman"/>
          <w:b/>
          <w:bCs/>
          <w:color w:val="000000"/>
          <w:sz w:val="28"/>
          <w:szCs w:val="28"/>
        </w:rPr>
      </w:pPr>
    </w:p>
    <w:p w:rsidR="002A776F" w:rsidRPr="002A776F" w:rsidRDefault="002A776F" w:rsidP="003F0D26">
      <w:pPr>
        <w:rPr>
          <w:rFonts w:eastAsia="Times New Roman"/>
          <w:b/>
          <w:bCs/>
          <w:color w:val="000000"/>
          <w:sz w:val="28"/>
          <w:szCs w:val="28"/>
        </w:rPr>
      </w:pPr>
      <w:r w:rsidRPr="002A776F">
        <w:rPr>
          <w:rFonts w:eastAsia="Times New Roman"/>
          <w:b/>
          <w:bCs/>
          <w:color w:val="000000"/>
          <w:sz w:val="28"/>
          <w:szCs w:val="28"/>
        </w:rPr>
        <w:t>Utility Cost Analysis</w:t>
      </w:r>
    </w:p>
    <w:tbl>
      <w:tblPr>
        <w:tblW w:w="6460" w:type="dxa"/>
        <w:tblInd w:w="91" w:type="dxa"/>
        <w:tblLook w:val="04A0"/>
      </w:tblPr>
      <w:tblGrid>
        <w:gridCol w:w="1160"/>
        <w:gridCol w:w="1920"/>
        <w:gridCol w:w="1920"/>
        <w:gridCol w:w="1460"/>
      </w:tblGrid>
      <w:tr w:rsidR="00FE4F32" w:rsidRPr="00FE4F32" w:rsidTr="00FE4F32">
        <w:trPr>
          <w:trHeight w:val="930"/>
        </w:trPr>
        <w:tc>
          <w:tcPr>
            <w:tcW w:w="1160" w:type="dxa"/>
            <w:tcBorders>
              <w:top w:val="single" w:sz="4" w:space="0" w:color="auto"/>
              <w:left w:val="single" w:sz="4" w:space="0" w:color="auto"/>
              <w:bottom w:val="single" w:sz="4" w:space="0" w:color="auto"/>
              <w:right w:val="nil"/>
            </w:tcBorders>
            <w:shd w:val="clear" w:color="auto" w:fill="auto"/>
            <w:noWrap/>
            <w:vAlign w:val="bottom"/>
            <w:hideMark/>
          </w:tcPr>
          <w:p w:rsidR="00FE4F32" w:rsidRDefault="00FE4F32" w:rsidP="00FE4F32">
            <w:pPr>
              <w:rPr>
                <w:rFonts w:eastAsia="Times New Roman"/>
                <w:sz w:val="22"/>
              </w:rPr>
            </w:pPr>
          </w:p>
          <w:p w:rsidR="002A776F" w:rsidRPr="00FE4F32" w:rsidRDefault="002A776F" w:rsidP="00FE4F32">
            <w:pPr>
              <w:rPr>
                <w:rFonts w:eastAsia="Times New Roman"/>
                <w:sz w:val="22"/>
              </w:rPr>
            </w:pPr>
          </w:p>
        </w:tc>
        <w:tc>
          <w:tcPr>
            <w:tcW w:w="1920" w:type="dxa"/>
            <w:tcBorders>
              <w:top w:val="single" w:sz="4" w:space="0" w:color="auto"/>
              <w:left w:val="nil"/>
              <w:bottom w:val="single" w:sz="4" w:space="0" w:color="auto"/>
              <w:right w:val="nil"/>
            </w:tcBorders>
            <w:shd w:val="clear" w:color="auto" w:fill="auto"/>
            <w:noWrap/>
            <w:vAlign w:val="bottom"/>
            <w:hideMark/>
          </w:tcPr>
          <w:p w:rsidR="00FE4F32" w:rsidRPr="00FE4F32" w:rsidRDefault="00FE4F32" w:rsidP="00FE4F32">
            <w:pPr>
              <w:rPr>
                <w:rFonts w:eastAsia="Times New Roman"/>
                <w:b/>
                <w:bCs/>
                <w:sz w:val="22"/>
              </w:rPr>
            </w:pPr>
            <w:r w:rsidRPr="00FE4F32">
              <w:rPr>
                <w:rFonts w:eastAsia="Times New Roman"/>
                <w:b/>
                <w:bCs/>
                <w:sz w:val="22"/>
              </w:rPr>
              <w:t>Plant Production</w:t>
            </w:r>
          </w:p>
        </w:tc>
        <w:tc>
          <w:tcPr>
            <w:tcW w:w="1920" w:type="dxa"/>
            <w:tcBorders>
              <w:top w:val="single" w:sz="4" w:space="0" w:color="auto"/>
              <w:left w:val="nil"/>
              <w:bottom w:val="single" w:sz="4" w:space="0" w:color="auto"/>
              <w:right w:val="nil"/>
            </w:tcBorders>
            <w:shd w:val="clear" w:color="auto" w:fill="auto"/>
            <w:vAlign w:val="bottom"/>
            <w:hideMark/>
          </w:tcPr>
          <w:p w:rsidR="00FE4F32" w:rsidRPr="00FE4F32" w:rsidRDefault="00FE4F32" w:rsidP="00FE4F32">
            <w:pPr>
              <w:rPr>
                <w:rFonts w:eastAsia="Times New Roman"/>
                <w:b/>
                <w:bCs/>
                <w:sz w:val="22"/>
              </w:rPr>
            </w:pPr>
            <w:r w:rsidRPr="00FE4F32">
              <w:rPr>
                <w:rFonts w:eastAsia="Times New Roman"/>
                <w:b/>
                <w:bCs/>
                <w:sz w:val="22"/>
              </w:rPr>
              <w:t>Total Utility Costs ($ p</w:t>
            </w:r>
            <w:r w:rsidR="00370F22">
              <w:rPr>
                <w:rFonts w:eastAsia="Times New Roman"/>
                <w:b/>
                <w:bCs/>
                <w:sz w:val="22"/>
              </w:rPr>
              <w:t>e</w:t>
            </w:r>
            <w:r w:rsidRPr="00FE4F32">
              <w:rPr>
                <w:rFonts w:eastAsia="Times New Roman"/>
                <w:b/>
                <w:bCs/>
                <w:sz w:val="22"/>
              </w:rPr>
              <w:t>r million pounds)</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FE4F32" w:rsidRPr="00FE4F32" w:rsidRDefault="00FE4F32" w:rsidP="00FE4F32">
            <w:pPr>
              <w:rPr>
                <w:rFonts w:eastAsia="Times New Roman"/>
                <w:b/>
                <w:bCs/>
                <w:sz w:val="22"/>
              </w:rPr>
            </w:pPr>
            <w:r w:rsidRPr="00FE4F32">
              <w:rPr>
                <w:rFonts w:eastAsia="Times New Roman"/>
                <w:b/>
                <w:bCs/>
                <w:sz w:val="22"/>
              </w:rPr>
              <w:t xml:space="preserve">Volume </w:t>
            </w:r>
            <w:r>
              <w:rPr>
                <w:rFonts w:eastAsia="Times New Roman"/>
                <w:b/>
                <w:bCs/>
                <w:sz w:val="22"/>
              </w:rPr>
              <w:t>P</w:t>
            </w:r>
            <w:r w:rsidRPr="00FE4F32">
              <w:rPr>
                <w:rFonts w:eastAsia="Times New Roman"/>
                <w:b/>
                <w:bCs/>
                <w:sz w:val="22"/>
              </w:rPr>
              <w:t>er Utility Cost</w:t>
            </w:r>
            <w:r w:rsidR="00370F22">
              <w:rPr>
                <w:rFonts w:eastAsia="Times New Roman"/>
                <w:b/>
                <w:bCs/>
                <w:sz w:val="22"/>
              </w:rPr>
              <w:t xml:space="preserve"> Dollar</w:t>
            </w:r>
          </w:p>
        </w:tc>
      </w:tr>
      <w:tr w:rsidR="00FE4F32" w:rsidRPr="00FE4F32" w:rsidTr="00FE4F32">
        <w:trPr>
          <w:trHeight w:val="300"/>
        </w:trPr>
        <w:tc>
          <w:tcPr>
            <w:tcW w:w="1160" w:type="dxa"/>
            <w:tcBorders>
              <w:top w:val="nil"/>
              <w:left w:val="single" w:sz="4" w:space="0" w:color="auto"/>
              <w:bottom w:val="nil"/>
              <w:right w:val="nil"/>
            </w:tcBorders>
            <w:shd w:val="clear" w:color="auto" w:fill="auto"/>
            <w:noWrap/>
            <w:vAlign w:val="bottom"/>
            <w:hideMark/>
          </w:tcPr>
          <w:p w:rsidR="00FE4F32" w:rsidRPr="00FE4F32" w:rsidRDefault="00FE4F32" w:rsidP="00FE4F32">
            <w:pPr>
              <w:rPr>
                <w:rFonts w:eastAsia="Times New Roman"/>
                <w:i/>
                <w:iCs/>
                <w:sz w:val="22"/>
              </w:rPr>
            </w:pPr>
            <w:r w:rsidRPr="00FE4F32">
              <w:rPr>
                <w:rFonts w:eastAsia="Times New Roman"/>
                <w:i/>
                <w:iCs/>
                <w:sz w:val="22"/>
              </w:rPr>
              <w:t>Mexico</w:t>
            </w:r>
          </w:p>
        </w:tc>
        <w:tc>
          <w:tcPr>
            <w:tcW w:w="1920" w:type="dxa"/>
            <w:tcBorders>
              <w:top w:val="nil"/>
              <w:left w:val="nil"/>
              <w:bottom w:val="nil"/>
              <w:right w:val="nil"/>
            </w:tcBorders>
            <w:shd w:val="clear" w:color="auto" w:fill="auto"/>
            <w:noWrap/>
            <w:vAlign w:val="bottom"/>
            <w:hideMark/>
          </w:tcPr>
          <w:p w:rsidR="00FE4F32" w:rsidRPr="00FE4F32" w:rsidRDefault="00FE4F32" w:rsidP="00FE4F32">
            <w:pPr>
              <w:rPr>
                <w:rFonts w:eastAsia="Times New Roman"/>
                <w:sz w:val="22"/>
              </w:rPr>
            </w:pPr>
            <w:r w:rsidRPr="00FE4F32">
              <w:rPr>
                <w:rFonts w:eastAsia="Times New Roman"/>
                <w:sz w:val="22"/>
              </w:rPr>
              <w:t xml:space="preserve">         17,200,000.00 </w:t>
            </w:r>
          </w:p>
        </w:tc>
        <w:tc>
          <w:tcPr>
            <w:tcW w:w="1920" w:type="dxa"/>
            <w:tcBorders>
              <w:top w:val="nil"/>
              <w:left w:val="nil"/>
              <w:bottom w:val="nil"/>
              <w:right w:val="nil"/>
            </w:tcBorders>
            <w:shd w:val="clear" w:color="auto" w:fill="auto"/>
            <w:noWrap/>
            <w:vAlign w:val="bottom"/>
            <w:hideMark/>
          </w:tcPr>
          <w:p w:rsidR="00FE4F32" w:rsidRPr="00FE4F32" w:rsidRDefault="00FE4F32" w:rsidP="00FE4F32">
            <w:pPr>
              <w:jc w:val="right"/>
              <w:rPr>
                <w:rFonts w:eastAsia="Times New Roman"/>
                <w:sz w:val="22"/>
              </w:rPr>
            </w:pPr>
            <w:r w:rsidRPr="00FE4F32">
              <w:rPr>
                <w:rFonts w:eastAsia="Times New Roman"/>
                <w:sz w:val="22"/>
              </w:rPr>
              <w:t>$12,012.00</w:t>
            </w:r>
          </w:p>
        </w:tc>
        <w:tc>
          <w:tcPr>
            <w:tcW w:w="1460" w:type="dxa"/>
            <w:tcBorders>
              <w:top w:val="nil"/>
              <w:left w:val="nil"/>
              <w:bottom w:val="nil"/>
              <w:right w:val="single" w:sz="4" w:space="0" w:color="auto"/>
            </w:tcBorders>
            <w:shd w:val="clear" w:color="auto" w:fill="auto"/>
            <w:noWrap/>
            <w:vAlign w:val="bottom"/>
            <w:hideMark/>
          </w:tcPr>
          <w:p w:rsidR="00FE4F32" w:rsidRPr="00FE4F32" w:rsidRDefault="00FE4F32" w:rsidP="00FE4F32">
            <w:pPr>
              <w:rPr>
                <w:rFonts w:eastAsia="Times New Roman"/>
                <w:sz w:val="22"/>
              </w:rPr>
            </w:pPr>
            <w:r w:rsidRPr="00FE4F32">
              <w:rPr>
                <w:rFonts w:eastAsia="Times New Roman"/>
                <w:sz w:val="22"/>
              </w:rPr>
              <w:t xml:space="preserve">         1,431.90 </w:t>
            </w:r>
          </w:p>
        </w:tc>
      </w:tr>
      <w:tr w:rsidR="00FE4F32" w:rsidRPr="00FE4F32" w:rsidTr="00FE4F32">
        <w:trPr>
          <w:trHeight w:val="300"/>
        </w:trPr>
        <w:tc>
          <w:tcPr>
            <w:tcW w:w="1160" w:type="dxa"/>
            <w:tcBorders>
              <w:top w:val="nil"/>
              <w:left w:val="single" w:sz="4" w:space="0" w:color="auto"/>
              <w:bottom w:val="nil"/>
              <w:right w:val="nil"/>
            </w:tcBorders>
            <w:shd w:val="clear" w:color="auto" w:fill="auto"/>
            <w:noWrap/>
            <w:vAlign w:val="bottom"/>
            <w:hideMark/>
          </w:tcPr>
          <w:p w:rsidR="00FE4F32" w:rsidRPr="00FE4F32" w:rsidRDefault="00FE4F32" w:rsidP="00FE4F32">
            <w:pPr>
              <w:rPr>
                <w:rFonts w:eastAsia="Times New Roman"/>
                <w:i/>
                <w:iCs/>
                <w:sz w:val="22"/>
              </w:rPr>
            </w:pPr>
            <w:r w:rsidRPr="00FE4F32">
              <w:rPr>
                <w:rFonts w:eastAsia="Times New Roman"/>
                <w:i/>
                <w:iCs/>
                <w:sz w:val="22"/>
              </w:rPr>
              <w:t>Frankfurt</w:t>
            </w:r>
          </w:p>
        </w:tc>
        <w:tc>
          <w:tcPr>
            <w:tcW w:w="1920" w:type="dxa"/>
            <w:tcBorders>
              <w:top w:val="nil"/>
              <w:left w:val="nil"/>
              <w:bottom w:val="nil"/>
              <w:right w:val="nil"/>
            </w:tcBorders>
            <w:shd w:val="clear" w:color="auto" w:fill="auto"/>
            <w:noWrap/>
            <w:vAlign w:val="bottom"/>
            <w:hideMark/>
          </w:tcPr>
          <w:p w:rsidR="00FE4F32" w:rsidRPr="00FE4F32" w:rsidRDefault="00FE4F32" w:rsidP="00FE4F32">
            <w:pPr>
              <w:rPr>
                <w:rFonts w:eastAsia="Times New Roman"/>
                <w:sz w:val="22"/>
              </w:rPr>
            </w:pPr>
            <w:r w:rsidRPr="00FE4F32">
              <w:rPr>
                <w:rFonts w:eastAsia="Times New Roman"/>
                <w:sz w:val="22"/>
              </w:rPr>
              <w:t xml:space="preserve">         38,000,000.00 </w:t>
            </w:r>
          </w:p>
        </w:tc>
        <w:tc>
          <w:tcPr>
            <w:tcW w:w="1920" w:type="dxa"/>
            <w:tcBorders>
              <w:top w:val="nil"/>
              <w:left w:val="nil"/>
              <w:bottom w:val="nil"/>
              <w:right w:val="nil"/>
            </w:tcBorders>
            <w:shd w:val="clear" w:color="auto" w:fill="auto"/>
            <w:noWrap/>
            <w:vAlign w:val="bottom"/>
            <w:hideMark/>
          </w:tcPr>
          <w:p w:rsidR="00FE4F32" w:rsidRPr="00FE4F32" w:rsidRDefault="00FE4F32" w:rsidP="00FE4F32">
            <w:pPr>
              <w:jc w:val="right"/>
              <w:rPr>
                <w:rFonts w:eastAsia="Times New Roman"/>
                <w:sz w:val="22"/>
              </w:rPr>
            </w:pPr>
            <w:r w:rsidRPr="00FE4F32">
              <w:rPr>
                <w:rFonts w:eastAsia="Times New Roman"/>
                <w:sz w:val="22"/>
              </w:rPr>
              <w:t>$11,116.00</w:t>
            </w:r>
          </w:p>
        </w:tc>
        <w:tc>
          <w:tcPr>
            <w:tcW w:w="1460" w:type="dxa"/>
            <w:tcBorders>
              <w:top w:val="nil"/>
              <w:left w:val="nil"/>
              <w:bottom w:val="nil"/>
              <w:right w:val="single" w:sz="4" w:space="0" w:color="auto"/>
            </w:tcBorders>
            <w:shd w:val="clear" w:color="auto" w:fill="auto"/>
            <w:noWrap/>
            <w:vAlign w:val="bottom"/>
            <w:hideMark/>
          </w:tcPr>
          <w:p w:rsidR="00FE4F32" w:rsidRPr="00FE4F32" w:rsidRDefault="00FE4F32" w:rsidP="00FE4F32">
            <w:pPr>
              <w:rPr>
                <w:rFonts w:eastAsia="Times New Roman"/>
                <w:sz w:val="22"/>
              </w:rPr>
            </w:pPr>
            <w:r w:rsidRPr="00FE4F32">
              <w:rPr>
                <w:rFonts w:eastAsia="Times New Roman"/>
                <w:sz w:val="22"/>
              </w:rPr>
              <w:t xml:space="preserve">         3,418.50 </w:t>
            </w:r>
          </w:p>
        </w:tc>
      </w:tr>
      <w:tr w:rsidR="00FE4F32" w:rsidRPr="00FE4F32" w:rsidTr="00FE4F32">
        <w:trPr>
          <w:trHeight w:val="300"/>
        </w:trPr>
        <w:tc>
          <w:tcPr>
            <w:tcW w:w="1160" w:type="dxa"/>
            <w:tcBorders>
              <w:top w:val="nil"/>
              <w:left w:val="single" w:sz="4" w:space="0" w:color="auto"/>
              <w:bottom w:val="nil"/>
              <w:right w:val="nil"/>
            </w:tcBorders>
            <w:shd w:val="clear" w:color="auto" w:fill="auto"/>
            <w:noWrap/>
            <w:vAlign w:val="bottom"/>
            <w:hideMark/>
          </w:tcPr>
          <w:p w:rsidR="00FE4F32" w:rsidRPr="00FE4F32" w:rsidRDefault="00FE4F32" w:rsidP="00FE4F32">
            <w:pPr>
              <w:rPr>
                <w:rFonts w:eastAsia="Times New Roman"/>
                <w:i/>
                <w:iCs/>
                <w:sz w:val="22"/>
              </w:rPr>
            </w:pPr>
            <w:r w:rsidRPr="00FE4F32">
              <w:rPr>
                <w:rFonts w:eastAsia="Times New Roman"/>
                <w:i/>
                <w:iCs/>
                <w:sz w:val="22"/>
              </w:rPr>
              <w:t>Gary</w:t>
            </w:r>
          </w:p>
        </w:tc>
        <w:tc>
          <w:tcPr>
            <w:tcW w:w="1920" w:type="dxa"/>
            <w:tcBorders>
              <w:top w:val="nil"/>
              <w:left w:val="nil"/>
              <w:bottom w:val="nil"/>
              <w:right w:val="nil"/>
            </w:tcBorders>
            <w:shd w:val="clear" w:color="auto" w:fill="auto"/>
            <w:noWrap/>
            <w:vAlign w:val="bottom"/>
            <w:hideMark/>
          </w:tcPr>
          <w:p w:rsidR="00FE4F32" w:rsidRPr="00FE4F32" w:rsidRDefault="00FE4F32" w:rsidP="00FE4F32">
            <w:pPr>
              <w:rPr>
                <w:rFonts w:eastAsia="Times New Roman"/>
                <w:sz w:val="22"/>
              </w:rPr>
            </w:pPr>
            <w:r w:rsidRPr="00FE4F32">
              <w:rPr>
                <w:rFonts w:eastAsia="Times New Roman"/>
                <w:sz w:val="22"/>
              </w:rPr>
              <w:t xml:space="preserve">         14,000,000.00 </w:t>
            </w:r>
          </w:p>
        </w:tc>
        <w:tc>
          <w:tcPr>
            <w:tcW w:w="1920" w:type="dxa"/>
            <w:tcBorders>
              <w:top w:val="nil"/>
              <w:left w:val="nil"/>
              <w:bottom w:val="nil"/>
              <w:right w:val="nil"/>
            </w:tcBorders>
            <w:shd w:val="clear" w:color="auto" w:fill="auto"/>
            <w:noWrap/>
            <w:vAlign w:val="bottom"/>
            <w:hideMark/>
          </w:tcPr>
          <w:p w:rsidR="00FE4F32" w:rsidRPr="00FE4F32" w:rsidRDefault="00FE4F32" w:rsidP="00FE4F32">
            <w:pPr>
              <w:jc w:val="right"/>
              <w:rPr>
                <w:rFonts w:eastAsia="Times New Roman"/>
                <w:sz w:val="22"/>
              </w:rPr>
            </w:pPr>
            <w:r w:rsidRPr="00FE4F32">
              <w:rPr>
                <w:rFonts w:eastAsia="Times New Roman"/>
                <w:sz w:val="22"/>
              </w:rPr>
              <w:t>$19,365.00</w:t>
            </w:r>
          </w:p>
        </w:tc>
        <w:tc>
          <w:tcPr>
            <w:tcW w:w="1460" w:type="dxa"/>
            <w:tcBorders>
              <w:top w:val="nil"/>
              <w:left w:val="nil"/>
              <w:bottom w:val="nil"/>
              <w:right w:val="single" w:sz="4" w:space="0" w:color="auto"/>
            </w:tcBorders>
            <w:shd w:val="clear" w:color="auto" w:fill="auto"/>
            <w:noWrap/>
            <w:vAlign w:val="bottom"/>
            <w:hideMark/>
          </w:tcPr>
          <w:p w:rsidR="00FE4F32" w:rsidRPr="00FE4F32" w:rsidRDefault="00FE4F32" w:rsidP="00FE4F32">
            <w:pPr>
              <w:rPr>
                <w:rFonts w:eastAsia="Times New Roman"/>
                <w:sz w:val="22"/>
              </w:rPr>
            </w:pPr>
            <w:r w:rsidRPr="00FE4F32">
              <w:rPr>
                <w:rFonts w:eastAsia="Times New Roman"/>
                <w:sz w:val="22"/>
              </w:rPr>
              <w:t xml:space="preserve">            722.95 </w:t>
            </w:r>
          </w:p>
        </w:tc>
      </w:tr>
      <w:tr w:rsidR="00FE4F32" w:rsidRPr="00FE4F32" w:rsidTr="00FE4F32">
        <w:trPr>
          <w:trHeight w:val="300"/>
        </w:trPr>
        <w:tc>
          <w:tcPr>
            <w:tcW w:w="1160" w:type="dxa"/>
            <w:tcBorders>
              <w:top w:val="nil"/>
              <w:left w:val="single" w:sz="4" w:space="0" w:color="auto"/>
              <w:bottom w:val="single" w:sz="4" w:space="0" w:color="auto"/>
              <w:right w:val="nil"/>
            </w:tcBorders>
            <w:shd w:val="clear" w:color="auto" w:fill="auto"/>
            <w:noWrap/>
            <w:vAlign w:val="bottom"/>
            <w:hideMark/>
          </w:tcPr>
          <w:p w:rsidR="00FE4F32" w:rsidRPr="00FE4F32" w:rsidRDefault="00FE4F32" w:rsidP="00FE4F32">
            <w:pPr>
              <w:rPr>
                <w:rFonts w:eastAsia="Times New Roman"/>
                <w:i/>
                <w:iCs/>
                <w:sz w:val="22"/>
              </w:rPr>
            </w:pPr>
            <w:r w:rsidRPr="00FE4F32">
              <w:rPr>
                <w:rFonts w:eastAsia="Times New Roman"/>
                <w:i/>
                <w:iCs/>
                <w:sz w:val="22"/>
              </w:rPr>
              <w:t>Japan</w:t>
            </w:r>
          </w:p>
        </w:tc>
        <w:tc>
          <w:tcPr>
            <w:tcW w:w="1920" w:type="dxa"/>
            <w:tcBorders>
              <w:top w:val="nil"/>
              <w:left w:val="nil"/>
              <w:bottom w:val="single" w:sz="4" w:space="0" w:color="auto"/>
              <w:right w:val="nil"/>
            </w:tcBorders>
            <w:shd w:val="clear" w:color="auto" w:fill="auto"/>
            <w:noWrap/>
            <w:vAlign w:val="bottom"/>
            <w:hideMark/>
          </w:tcPr>
          <w:p w:rsidR="00FE4F32" w:rsidRPr="00FE4F32" w:rsidRDefault="00FE4F32" w:rsidP="00FE4F32">
            <w:pPr>
              <w:rPr>
                <w:rFonts w:eastAsia="Times New Roman"/>
                <w:sz w:val="22"/>
              </w:rPr>
            </w:pPr>
            <w:r w:rsidRPr="00FE4F32">
              <w:rPr>
                <w:rFonts w:eastAsia="Times New Roman"/>
                <w:sz w:val="22"/>
              </w:rPr>
              <w:t xml:space="preserve">           4,000,000.00 </w:t>
            </w:r>
          </w:p>
        </w:tc>
        <w:tc>
          <w:tcPr>
            <w:tcW w:w="1920" w:type="dxa"/>
            <w:tcBorders>
              <w:top w:val="nil"/>
              <w:left w:val="nil"/>
              <w:bottom w:val="single" w:sz="4" w:space="0" w:color="auto"/>
              <w:right w:val="nil"/>
            </w:tcBorders>
            <w:shd w:val="clear" w:color="auto" w:fill="auto"/>
            <w:noWrap/>
            <w:vAlign w:val="bottom"/>
            <w:hideMark/>
          </w:tcPr>
          <w:p w:rsidR="00FE4F32" w:rsidRPr="00FE4F32" w:rsidRDefault="00FE4F32" w:rsidP="00FE4F32">
            <w:pPr>
              <w:jc w:val="right"/>
              <w:rPr>
                <w:rFonts w:eastAsia="Times New Roman"/>
                <w:sz w:val="22"/>
              </w:rPr>
            </w:pPr>
            <w:r w:rsidRPr="00FE4F32">
              <w:rPr>
                <w:rFonts w:eastAsia="Times New Roman"/>
                <w:sz w:val="22"/>
              </w:rPr>
              <w:t>$36,675.00</w:t>
            </w:r>
          </w:p>
        </w:tc>
        <w:tc>
          <w:tcPr>
            <w:tcW w:w="1460" w:type="dxa"/>
            <w:tcBorders>
              <w:top w:val="nil"/>
              <w:left w:val="nil"/>
              <w:bottom w:val="single" w:sz="4" w:space="0" w:color="auto"/>
              <w:right w:val="single" w:sz="4" w:space="0" w:color="auto"/>
            </w:tcBorders>
            <w:shd w:val="clear" w:color="auto" w:fill="auto"/>
            <w:noWrap/>
            <w:vAlign w:val="bottom"/>
            <w:hideMark/>
          </w:tcPr>
          <w:p w:rsidR="00FE4F32" w:rsidRPr="00FE4F32" w:rsidRDefault="00FE4F32" w:rsidP="00FE4F32">
            <w:pPr>
              <w:rPr>
                <w:rFonts w:eastAsia="Times New Roman"/>
                <w:sz w:val="22"/>
              </w:rPr>
            </w:pPr>
            <w:r w:rsidRPr="00FE4F32">
              <w:rPr>
                <w:rFonts w:eastAsia="Times New Roman"/>
                <w:sz w:val="22"/>
              </w:rPr>
              <w:t xml:space="preserve">            109.07 </w:t>
            </w:r>
          </w:p>
        </w:tc>
      </w:tr>
    </w:tbl>
    <w:p w:rsidR="003935AD" w:rsidRDefault="003935AD" w:rsidP="003F0D26"/>
    <w:p w:rsidR="003935AD" w:rsidRDefault="003935AD" w:rsidP="003F0D26"/>
    <w:p w:rsidR="00FF7515" w:rsidRDefault="00FF7515" w:rsidP="003F0D26">
      <w:pPr>
        <w:rPr>
          <w:i/>
        </w:rPr>
      </w:pPr>
    </w:p>
    <w:p w:rsidR="00FF7515" w:rsidRDefault="00FF7515">
      <w:pPr>
        <w:rPr>
          <w:i/>
        </w:rPr>
      </w:pPr>
      <w:r>
        <w:rPr>
          <w:i/>
        </w:rPr>
        <w:br w:type="page"/>
      </w:r>
    </w:p>
    <w:p w:rsidR="00FF7515" w:rsidRDefault="00FF7515" w:rsidP="003F0D26">
      <w:pPr>
        <w:rPr>
          <w:i/>
        </w:rPr>
      </w:pPr>
    </w:p>
    <w:p w:rsidR="000D1126" w:rsidRPr="004C66BB" w:rsidRDefault="000F6922" w:rsidP="003F0D26">
      <w:pPr>
        <w:rPr>
          <w:i/>
        </w:rPr>
      </w:pPr>
      <w:r>
        <w:rPr>
          <w:i/>
        </w:rPr>
        <w:t>Exhibit 5</w:t>
      </w:r>
    </w:p>
    <w:p w:rsidR="000D1126" w:rsidRDefault="000D1126" w:rsidP="003F0D26"/>
    <w:p w:rsidR="00FD330D" w:rsidRDefault="00FD330D" w:rsidP="003F0D26">
      <w:pPr>
        <w:rPr>
          <w:b/>
          <w:sz w:val="28"/>
        </w:rPr>
      </w:pPr>
      <w:r>
        <w:rPr>
          <w:b/>
          <w:sz w:val="28"/>
        </w:rPr>
        <w:t>Capacity Levels</w:t>
      </w:r>
    </w:p>
    <w:p w:rsidR="00FD330D" w:rsidRPr="00FD330D" w:rsidRDefault="00FD330D" w:rsidP="003F0D26">
      <w:pPr>
        <w:rPr>
          <w:b/>
          <w:sz w:val="28"/>
        </w:rPr>
      </w:pPr>
    </w:p>
    <w:tbl>
      <w:tblPr>
        <w:tblW w:w="5460" w:type="dxa"/>
        <w:jc w:val="center"/>
        <w:tblInd w:w="91" w:type="dxa"/>
        <w:tblLook w:val="04A0"/>
      </w:tblPr>
      <w:tblGrid>
        <w:gridCol w:w="1200"/>
        <w:gridCol w:w="1540"/>
        <w:gridCol w:w="1340"/>
        <w:gridCol w:w="1380"/>
      </w:tblGrid>
      <w:tr w:rsidR="008C7E63" w:rsidRPr="00C27DEE" w:rsidTr="005623FD">
        <w:trPr>
          <w:trHeight w:val="675"/>
          <w:jc w:val="center"/>
        </w:trPr>
        <w:tc>
          <w:tcPr>
            <w:tcW w:w="5460" w:type="dxa"/>
            <w:gridSpan w:val="4"/>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8C7E63" w:rsidRPr="00C27DEE" w:rsidRDefault="008C7E63" w:rsidP="005623FD">
            <w:pPr>
              <w:jc w:val="center"/>
              <w:rPr>
                <w:rFonts w:eastAsia="Times New Roman"/>
                <w:b/>
                <w:bCs/>
                <w:color w:val="000000"/>
                <w:sz w:val="28"/>
                <w:szCs w:val="28"/>
              </w:rPr>
            </w:pPr>
            <w:r w:rsidRPr="00C27DEE">
              <w:rPr>
                <w:rFonts w:eastAsia="Times New Roman"/>
                <w:b/>
                <w:bCs/>
                <w:color w:val="000000"/>
                <w:sz w:val="28"/>
                <w:szCs w:val="28"/>
              </w:rPr>
              <w:t>1982 Capacity Levels (in millions)</w:t>
            </w:r>
          </w:p>
        </w:tc>
      </w:tr>
      <w:tr w:rsidR="008C7E63" w:rsidRPr="00C27DEE" w:rsidTr="005623FD">
        <w:trPr>
          <w:trHeight w:val="900"/>
          <w:jc w:val="center"/>
        </w:trPr>
        <w:tc>
          <w:tcPr>
            <w:tcW w:w="1200" w:type="dxa"/>
            <w:tcBorders>
              <w:top w:val="nil"/>
              <w:left w:val="single" w:sz="4" w:space="0" w:color="auto"/>
              <w:bottom w:val="single" w:sz="4" w:space="0" w:color="auto"/>
              <w:right w:val="nil"/>
            </w:tcBorders>
            <w:shd w:val="clear" w:color="auto" w:fill="auto"/>
            <w:vAlign w:val="center"/>
            <w:hideMark/>
          </w:tcPr>
          <w:p w:rsidR="008C7E63" w:rsidRPr="00C27DEE" w:rsidRDefault="008C7E63" w:rsidP="005623FD">
            <w:pPr>
              <w:jc w:val="center"/>
              <w:rPr>
                <w:rFonts w:eastAsia="Times New Roman"/>
                <w:i/>
                <w:iCs/>
                <w:color w:val="000000"/>
                <w:sz w:val="22"/>
              </w:rPr>
            </w:pPr>
            <w:r w:rsidRPr="00C27DEE">
              <w:rPr>
                <w:rFonts w:eastAsia="Times New Roman"/>
                <w:i/>
                <w:iCs/>
                <w:color w:val="000000"/>
                <w:sz w:val="22"/>
              </w:rPr>
              <w:t>Plant</w:t>
            </w:r>
          </w:p>
        </w:tc>
        <w:tc>
          <w:tcPr>
            <w:tcW w:w="1540" w:type="dxa"/>
            <w:tcBorders>
              <w:top w:val="nil"/>
              <w:left w:val="nil"/>
              <w:bottom w:val="single" w:sz="4" w:space="0" w:color="auto"/>
              <w:right w:val="nil"/>
            </w:tcBorders>
            <w:shd w:val="clear" w:color="auto" w:fill="auto"/>
            <w:vAlign w:val="center"/>
            <w:hideMark/>
          </w:tcPr>
          <w:p w:rsidR="008C7E63" w:rsidRPr="00C27DEE" w:rsidRDefault="008C7E63" w:rsidP="005623FD">
            <w:pPr>
              <w:jc w:val="center"/>
              <w:rPr>
                <w:rFonts w:eastAsia="Times New Roman"/>
                <w:i/>
                <w:iCs/>
                <w:color w:val="000000"/>
                <w:sz w:val="22"/>
              </w:rPr>
            </w:pPr>
            <w:r w:rsidRPr="00C27DEE">
              <w:rPr>
                <w:rFonts w:eastAsia="Times New Roman"/>
                <w:i/>
                <w:iCs/>
                <w:color w:val="000000"/>
                <w:sz w:val="22"/>
              </w:rPr>
              <w:t>Current Capacity</w:t>
            </w:r>
          </w:p>
        </w:tc>
        <w:tc>
          <w:tcPr>
            <w:tcW w:w="1340" w:type="dxa"/>
            <w:tcBorders>
              <w:top w:val="nil"/>
              <w:left w:val="nil"/>
              <w:bottom w:val="single" w:sz="4" w:space="0" w:color="auto"/>
              <w:right w:val="nil"/>
            </w:tcBorders>
            <w:shd w:val="clear" w:color="auto" w:fill="auto"/>
            <w:vAlign w:val="center"/>
            <w:hideMark/>
          </w:tcPr>
          <w:p w:rsidR="008C7E63" w:rsidRPr="00C27DEE" w:rsidRDefault="008C7E63" w:rsidP="005623FD">
            <w:pPr>
              <w:jc w:val="center"/>
              <w:rPr>
                <w:rFonts w:eastAsia="Times New Roman"/>
                <w:i/>
                <w:iCs/>
                <w:color w:val="000000"/>
                <w:sz w:val="22"/>
              </w:rPr>
            </w:pPr>
            <w:r w:rsidRPr="00C27DEE">
              <w:rPr>
                <w:rFonts w:eastAsia="Times New Roman"/>
                <w:i/>
                <w:iCs/>
                <w:color w:val="000000"/>
                <w:sz w:val="22"/>
              </w:rPr>
              <w:t>Max Capacity</w:t>
            </w:r>
          </w:p>
        </w:tc>
        <w:tc>
          <w:tcPr>
            <w:tcW w:w="1380" w:type="dxa"/>
            <w:tcBorders>
              <w:top w:val="nil"/>
              <w:left w:val="nil"/>
              <w:bottom w:val="single" w:sz="4" w:space="0" w:color="auto"/>
              <w:right w:val="single" w:sz="4" w:space="0" w:color="auto"/>
            </w:tcBorders>
            <w:shd w:val="clear" w:color="auto" w:fill="auto"/>
            <w:vAlign w:val="center"/>
            <w:hideMark/>
          </w:tcPr>
          <w:p w:rsidR="008C7E63" w:rsidRPr="00C27DEE" w:rsidRDefault="008C7E63" w:rsidP="005623FD">
            <w:pPr>
              <w:jc w:val="center"/>
              <w:rPr>
                <w:rFonts w:eastAsia="Times New Roman"/>
                <w:i/>
                <w:iCs/>
                <w:color w:val="000000"/>
                <w:sz w:val="22"/>
              </w:rPr>
            </w:pPr>
            <w:r w:rsidRPr="00C27DEE">
              <w:rPr>
                <w:rFonts w:eastAsia="Times New Roman"/>
                <w:i/>
                <w:iCs/>
                <w:color w:val="000000"/>
                <w:sz w:val="22"/>
              </w:rPr>
              <w:t>Excess Capacity Available</w:t>
            </w:r>
          </w:p>
        </w:tc>
      </w:tr>
      <w:tr w:rsidR="008C7E63" w:rsidRPr="00C27DEE" w:rsidTr="005623FD">
        <w:trPr>
          <w:trHeight w:val="300"/>
          <w:jc w:val="center"/>
        </w:trPr>
        <w:tc>
          <w:tcPr>
            <w:tcW w:w="1200" w:type="dxa"/>
            <w:tcBorders>
              <w:top w:val="nil"/>
              <w:left w:val="single" w:sz="4" w:space="0" w:color="auto"/>
              <w:bottom w:val="nil"/>
              <w:right w:val="nil"/>
            </w:tcBorders>
            <w:shd w:val="clear" w:color="auto" w:fill="auto"/>
            <w:noWrap/>
            <w:vAlign w:val="center"/>
            <w:hideMark/>
          </w:tcPr>
          <w:p w:rsidR="008C7E63" w:rsidRPr="00C27DEE" w:rsidRDefault="008C7E63" w:rsidP="005623FD">
            <w:pPr>
              <w:rPr>
                <w:rFonts w:eastAsia="Times New Roman"/>
                <w:b/>
                <w:bCs/>
                <w:color w:val="000000"/>
                <w:sz w:val="22"/>
              </w:rPr>
            </w:pPr>
            <w:r w:rsidRPr="00C27DEE">
              <w:rPr>
                <w:rFonts w:eastAsia="Times New Roman"/>
                <w:b/>
                <w:bCs/>
                <w:color w:val="000000"/>
                <w:sz w:val="22"/>
              </w:rPr>
              <w:t>Gary</w:t>
            </w:r>
          </w:p>
        </w:tc>
        <w:tc>
          <w:tcPr>
            <w:tcW w:w="1540" w:type="dxa"/>
            <w:tcBorders>
              <w:top w:val="nil"/>
              <w:left w:val="nil"/>
              <w:bottom w:val="nil"/>
              <w:right w:val="nil"/>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14</w:t>
            </w:r>
          </w:p>
        </w:tc>
        <w:tc>
          <w:tcPr>
            <w:tcW w:w="1340" w:type="dxa"/>
            <w:tcBorders>
              <w:top w:val="nil"/>
              <w:left w:val="nil"/>
              <w:bottom w:val="nil"/>
              <w:right w:val="nil"/>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18.5</w:t>
            </w:r>
          </w:p>
        </w:tc>
        <w:tc>
          <w:tcPr>
            <w:tcW w:w="1380" w:type="dxa"/>
            <w:tcBorders>
              <w:top w:val="nil"/>
              <w:left w:val="nil"/>
              <w:bottom w:val="nil"/>
              <w:right w:val="single" w:sz="4" w:space="0" w:color="auto"/>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4.5</w:t>
            </w:r>
          </w:p>
        </w:tc>
      </w:tr>
      <w:tr w:rsidR="008C7E63" w:rsidRPr="00C27DEE" w:rsidTr="005623FD">
        <w:trPr>
          <w:trHeight w:val="300"/>
          <w:jc w:val="center"/>
        </w:trPr>
        <w:tc>
          <w:tcPr>
            <w:tcW w:w="1200" w:type="dxa"/>
            <w:tcBorders>
              <w:top w:val="nil"/>
              <w:left w:val="single" w:sz="4" w:space="0" w:color="auto"/>
              <w:bottom w:val="nil"/>
              <w:right w:val="nil"/>
            </w:tcBorders>
            <w:shd w:val="clear" w:color="auto" w:fill="auto"/>
            <w:noWrap/>
            <w:vAlign w:val="center"/>
            <w:hideMark/>
          </w:tcPr>
          <w:p w:rsidR="008C7E63" w:rsidRPr="00C27DEE" w:rsidRDefault="008C7E63" w:rsidP="005623FD">
            <w:pPr>
              <w:rPr>
                <w:rFonts w:eastAsia="Times New Roman"/>
                <w:b/>
                <w:bCs/>
                <w:color w:val="000000"/>
                <w:sz w:val="22"/>
              </w:rPr>
            </w:pPr>
            <w:r w:rsidRPr="00C27DEE">
              <w:rPr>
                <w:rFonts w:eastAsia="Times New Roman"/>
                <w:b/>
                <w:bCs/>
                <w:color w:val="000000"/>
                <w:sz w:val="22"/>
              </w:rPr>
              <w:t>Frankfurt</w:t>
            </w:r>
          </w:p>
        </w:tc>
        <w:tc>
          <w:tcPr>
            <w:tcW w:w="1540" w:type="dxa"/>
            <w:tcBorders>
              <w:top w:val="nil"/>
              <w:left w:val="nil"/>
              <w:bottom w:val="nil"/>
              <w:right w:val="nil"/>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38</w:t>
            </w:r>
          </w:p>
        </w:tc>
        <w:tc>
          <w:tcPr>
            <w:tcW w:w="1340" w:type="dxa"/>
            <w:tcBorders>
              <w:top w:val="nil"/>
              <w:left w:val="nil"/>
              <w:bottom w:val="nil"/>
              <w:right w:val="nil"/>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47</w:t>
            </w:r>
          </w:p>
        </w:tc>
        <w:tc>
          <w:tcPr>
            <w:tcW w:w="1380" w:type="dxa"/>
            <w:tcBorders>
              <w:top w:val="nil"/>
              <w:left w:val="nil"/>
              <w:bottom w:val="nil"/>
              <w:right w:val="single" w:sz="4" w:space="0" w:color="auto"/>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9</w:t>
            </w:r>
          </w:p>
        </w:tc>
      </w:tr>
      <w:tr w:rsidR="008C7E63" w:rsidRPr="00C27DEE" w:rsidTr="005623FD">
        <w:trPr>
          <w:trHeight w:val="300"/>
          <w:jc w:val="center"/>
        </w:trPr>
        <w:tc>
          <w:tcPr>
            <w:tcW w:w="1200" w:type="dxa"/>
            <w:tcBorders>
              <w:top w:val="nil"/>
              <w:left w:val="single" w:sz="4" w:space="0" w:color="auto"/>
              <w:bottom w:val="nil"/>
              <w:right w:val="nil"/>
            </w:tcBorders>
            <w:shd w:val="clear" w:color="auto" w:fill="auto"/>
            <w:noWrap/>
            <w:vAlign w:val="center"/>
            <w:hideMark/>
          </w:tcPr>
          <w:p w:rsidR="008C7E63" w:rsidRPr="00C27DEE" w:rsidRDefault="008C7E63" w:rsidP="005623FD">
            <w:pPr>
              <w:rPr>
                <w:rFonts w:eastAsia="Times New Roman"/>
                <w:b/>
                <w:bCs/>
                <w:color w:val="000000"/>
                <w:sz w:val="22"/>
              </w:rPr>
            </w:pPr>
            <w:r w:rsidRPr="00C27DEE">
              <w:rPr>
                <w:rFonts w:eastAsia="Times New Roman"/>
                <w:b/>
                <w:bCs/>
                <w:color w:val="000000"/>
                <w:sz w:val="22"/>
              </w:rPr>
              <w:t>Mexico</w:t>
            </w:r>
          </w:p>
        </w:tc>
        <w:tc>
          <w:tcPr>
            <w:tcW w:w="1540" w:type="dxa"/>
            <w:tcBorders>
              <w:top w:val="nil"/>
              <w:left w:val="nil"/>
              <w:bottom w:val="nil"/>
              <w:right w:val="nil"/>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17.2</w:t>
            </w:r>
          </w:p>
        </w:tc>
        <w:tc>
          <w:tcPr>
            <w:tcW w:w="1340" w:type="dxa"/>
            <w:tcBorders>
              <w:top w:val="nil"/>
              <w:left w:val="nil"/>
              <w:bottom w:val="nil"/>
              <w:right w:val="nil"/>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22</w:t>
            </w:r>
          </w:p>
        </w:tc>
        <w:tc>
          <w:tcPr>
            <w:tcW w:w="1380" w:type="dxa"/>
            <w:tcBorders>
              <w:top w:val="nil"/>
              <w:left w:val="nil"/>
              <w:bottom w:val="nil"/>
              <w:right w:val="single" w:sz="4" w:space="0" w:color="auto"/>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4.8</w:t>
            </w:r>
          </w:p>
        </w:tc>
      </w:tr>
      <w:tr w:rsidR="008C7E63" w:rsidRPr="00C27DEE" w:rsidTr="005623FD">
        <w:trPr>
          <w:trHeight w:val="300"/>
          <w:jc w:val="center"/>
        </w:trPr>
        <w:tc>
          <w:tcPr>
            <w:tcW w:w="1200" w:type="dxa"/>
            <w:tcBorders>
              <w:top w:val="nil"/>
              <w:left w:val="single" w:sz="4" w:space="0" w:color="auto"/>
              <w:bottom w:val="single" w:sz="4" w:space="0" w:color="auto"/>
              <w:right w:val="nil"/>
            </w:tcBorders>
            <w:shd w:val="clear" w:color="auto" w:fill="auto"/>
            <w:noWrap/>
            <w:vAlign w:val="center"/>
            <w:hideMark/>
          </w:tcPr>
          <w:p w:rsidR="008C7E63" w:rsidRPr="00C27DEE" w:rsidRDefault="008C7E63" w:rsidP="005623FD">
            <w:pPr>
              <w:rPr>
                <w:rFonts w:eastAsia="Times New Roman"/>
                <w:b/>
                <w:bCs/>
                <w:color w:val="000000"/>
                <w:sz w:val="22"/>
              </w:rPr>
            </w:pPr>
            <w:proofErr w:type="spellStart"/>
            <w:r w:rsidRPr="00C27DEE">
              <w:rPr>
                <w:rFonts w:eastAsia="Times New Roman"/>
                <w:b/>
                <w:bCs/>
                <w:color w:val="000000"/>
                <w:sz w:val="22"/>
              </w:rPr>
              <w:t>Sunchem</w:t>
            </w:r>
            <w:proofErr w:type="spellEnd"/>
          </w:p>
        </w:tc>
        <w:tc>
          <w:tcPr>
            <w:tcW w:w="1540" w:type="dxa"/>
            <w:tcBorders>
              <w:top w:val="nil"/>
              <w:left w:val="nil"/>
              <w:bottom w:val="single" w:sz="4" w:space="0" w:color="auto"/>
              <w:right w:val="nil"/>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4</w:t>
            </w:r>
          </w:p>
        </w:tc>
        <w:tc>
          <w:tcPr>
            <w:tcW w:w="1340" w:type="dxa"/>
            <w:tcBorders>
              <w:top w:val="nil"/>
              <w:left w:val="nil"/>
              <w:bottom w:val="single" w:sz="4" w:space="0" w:color="auto"/>
              <w:right w:val="nil"/>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5</w:t>
            </w:r>
          </w:p>
        </w:tc>
        <w:tc>
          <w:tcPr>
            <w:tcW w:w="1380" w:type="dxa"/>
            <w:tcBorders>
              <w:top w:val="nil"/>
              <w:left w:val="nil"/>
              <w:bottom w:val="single" w:sz="4" w:space="0" w:color="auto"/>
              <w:right w:val="single" w:sz="4" w:space="0" w:color="auto"/>
            </w:tcBorders>
            <w:shd w:val="clear" w:color="auto" w:fill="auto"/>
            <w:noWrap/>
            <w:vAlign w:val="center"/>
            <w:hideMark/>
          </w:tcPr>
          <w:p w:rsidR="008C7E63" w:rsidRPr="00C27DEE" w:rsidRDefault="008C7E63" w:rsidP="005623FD">
            <w:pPr>
              <w:jc w:val="center"/>
              <w:rPr>
                <w:rFonts w:eastAsia="Times New Roman"/>
                <w:color w:val="000000"/>
                <w:sz w:val="22"/>
              </w:rPr>
            </w:pPr>
            <w:r w:rsidRPr="00C27DEE">
              <w:rPr>
                <w:rFonts w:eastAsia="Times New Roman"/>
                <w:color w:val="000000"/>
                <w:sz w:val="22"/>
              </w:rPr>
              <w:t>1</w:t>
            </w:r>
          </w:p>
        </w:tc>
      </w:tr>
    </w:tbl>
    <w:p w:rsidR="00D73240" w:rsidRPr="009670F9" w:rsidRDefault="00D73240" w:rsidP="009670F9">
      <w:pPr>
        <w:rPr>
          <w:b/>
          <w:sz w:val="28"/>
        </w:rPr>
      </w:pPr>
    </w:p>
    <w:p w:rsidR="00FF7515" w:rsidRDefault="00FF7515" w:rsidP="00AA5DB5">
      <w:pPr>
        <w:ind w:left="720" w:hanging="720"/>
      </w:pPr>
    </w:p>
    <w:sectPr w:rsidR="00FF7515" w:rsidSect="005C3EFE">
      <w:pgSz w:w="12240" w:h="15840"/>
      <w:pgMar w:top="1080" w:right="1080" w:bottom="108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34D"/>
    <w:multiLevelType w:val="hybridMultilevel"/>
    <w:tmpl w:val="BA6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022"/>
    <w:multiLevelType w:val="hybridMultilevel"/>
    <w:tmpl w:val="56822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D30368"/>
    <w:multiLevelType w:val="hybridMultilevel"/>
    <w:tmpl w:val="A77E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E5C76"/>
    <w:multiLevelType w:val="hybridMultilevel"/>
    <w:tmpl w:val="B5B0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70B3B"/>
    <w:multiLevelType w:val="hybridMultilevel"/>
    <w:tmpl w:val="ED98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43E28"/>
    <w:multiLevelType w:val="hybridMultilevel"/>
    <w:tmpl w:val="53401C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B0D000E"/>
    <w:multiLevelType w:val="hybridMultilevel"/>
    <w:tmpl w:val="72E642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0812B7B"/>
    <w:multiLevelType w:val="hybridMultilevel"/>
    <w:tmpl w:val="E76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A5F43"/>
    <w:multiLevelType w:val="hybridMultilevel"/>
    <w:tmpl w:val="B596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A2C6B"/>
    <w:multiLevelType w:val="hybridMultilevel"/>
    <w:tmpl w:val="A1304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360EA7"/>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439DD"/>
    <w:multiLevelType w:val="hybridMultilevel"/>
    <w:tmpl w:val="3D0C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3C2080"/>
    <w:multiLevelType w:val="hybridMultilevel"/>
    <w:tmpl w:val="200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70537"/>
    <w:multiLevelType w:val="hybridMultilevel"/>
    <w:tmpl w:val="F3BA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7205DF"/>
    <w:multiLevelType w:val="hybridMultilevel"/>
    <w:tmpl w:val="C3BED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9B2E0D"/>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795AF8"/>
    <w:multiLevelType w:val="hybridMultilevel"/>
    <w:tmpl w:val="30F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F0A6D"/>
    <w:multiLevelType w:val="hybridMultilevel"/>
    <w:tmpl w:val="54FE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257E40"/>
    <w:multiLevelType w:val="hybridMultilevel"/>
    <w:tmpl w:val="5E0C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85CEE"/>
    <w:multiLevelType w:val="hybridMultilevel"/>
    <w:tmpl w:val="D59EA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121D61"/>
    <w:multiLevelType w:val="hybridMultilevel"/>
    <w:tmpl w:val="AF1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D24FD4"/>
    <w:multiLevelType w:val="hybridMultilevel"/>
    <w:tmpl w:val="891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30F53"/>
    <w:multiLevelType w:val="hybridMultilevel"/>
    <w:tmpl w:val="FBEE5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8"/>
  </w:num>
  <w:num w:numId="4">
    <w:abstractNumId w:val="12"/>
  </w:num>
  <w:num w:numId="5">
    <w:abstractNumId w:val="21"/>
  </w:num>
  <w:num w:numId="6">
    <w:abstractNumId w:val="7"/>
  </w:num>
  <w:num w:numId="7">
    <w:abstractNumId w:val="1"/>
  </w:num>
  <w:num w:numId="8">
    <w:abstractNumId w:val="4"/>
  </w:num>
  <w:num w:numId="9">
    <w:abstractNumId w:val="20"/>
  </w:num>
  <w:num w:numId="10">
    <w:abstractNumId w:val="8"/>
  </w:num>
  <w:num w:numId="11">
    <w:abstractNumId w:val="11"/>
  </w:num>
  <w:num w:numId="12">
    <w:abstractNumId w:val="16"/>
  </w:num>
  <w:num w:numId="13">
    <w:abstractNumId w:val="0"/>
  </w:num>
  <w:num w:numId="14">
    <w:abstractNumId w:val="2"/>
  </w:num>
  <w:num w:numId="15">
    <w:abstractNumId w:val="3"/>
  </w:num>
  <w:num w:numId="16">
    <w:abstractNumId w:val="6"/>
  </w:num>
  <w:num w:numId="17">
    <w:abstractNumId w:val="5"/>
  </w:num>
  <w:num w:numId="18">
    <w:abstractNumId w:val="22"/>
  </w:num>
  <w:num w:numId="19">
    <w:abstractNumId w:val="19"/>
  </w:num>
  <w:num w:numId="20">
    <w:abstractNumId w:val="14"/>
  </w:num>
  <w:num w:numId="21">
    <w:abstractNumId w:val="9"/>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3C0B43"/>
    <w:rsid w:val="000044B4"/>
    <w:rsid w:val="00015954"/>
    <w:rsid w:val="00017A2B"/>
    <w:rsid w:val="00021D92"/>
    <w:rsid w:val="000272E4"/>
    <w:rsid w:val="00050829"/>
    <w:rsid w:val="00055B81"/>
    <w:rsid w:val="00067AA0"/>
    <w:rsid w:val="00071835"/>
    <w:rsid w:val="00075F87"/>
    <w:rsid w:val="000A1256"/>
    <w:rsid w:val="000A53E0"/>
    <w:rsid w:val="000A5B0A"/>
    <w:rsid w:val="000A7A1E"/>
    <w:rsid w:val="000B6CA0"/>
    <w:rsid w:val="000C222E"/>
    <w:rsid w:val="000D1126"/>
    <w:rsid w:val="000E58EA"/>
    <w:rsid w:val="000F56C2"/>
    <w:rsid w:val="000F6922"/>
    <w:rsid w:val="00106827"/>
    <w:rsid w:val="001127C2"/>
    <w:rsid w:val="0012044F"/>
    <w:rsid w:val="0014357A"/>
    <w:rsid w:val="001463A4"/>
    <w:rsid w:val="001655AE"/>
    <w:rsid w:val="00165E00"/>
    <w:rsid w:val="001677F0"/>
    <w:rsid w:val="00171755"/>
    <w:rsid w:val="00176069"/>
    <w:rsid w:val="001A791D"/>
    <w:rsid w:val="001D17F8"/>
    <w:rsid w:val="001E30F2"/>
    <w:rsid w:val="001E3EF6"/>
    <w:rsid w:val="001E5DBC"/>
    <w:rsid w:val="0020138A"/>
    <w:rsid w:val="00206032"/>
    <w:rsid w:val="00211F93"/>
    <w:rsid w:val="00213802"/>
    <w:rsid w:val="0021404E"/>
    <w:rsid w:val="00214979"/>
    <w:rsid w:val="00215717"/>
    <w:rsid w:val="0022482D"/>
    <w:rsid w:val="00226A4F"/>
    <w:rsid w:val="0023725F"/>
    <w:rsid w:val="00253E45"/>
    <w:rsid w:val="00253E60"/>
    <w:rsid w:val="00254BD6"/>
    <w:rsid w:val="0025685D"/>
    <w:rsid w:val="00266DD3"/>
    <w:rsid w:val="002676AE"/>
    <w:rsid w:val="00271679"/>
    <w:rsid w:val="002822AE"/>
    <w:rsid w:val="00283F75"/>
    <w:rsid w:val="00284D57"/>
    <w:rsid w:val="00285463"/>
    <w:rsid w:val="00286A74"/>
    <w:rsid w:val="00286B74"/>
    <w:rsid w:val="00287BD2"/>
    <w:rsid w:val="00291D59"/>
    <w:rsid w:val="00291EF3"/>
    <w:rsid w:val="002957CF"/>
    <w:rsid w:val="002A17C0"/>
    <w:rsid w:val="002A5BC4"/>
    <w:rsid w:val="002A776F"/>
    <w:rsid w:val="002B27C6"/>
    <w:rsid w:val="002D267B"/>
    <w:rsid w:val="002F1909"/>
    <w:rsid w:val="00304318"/>
    <w:rsid w:val="00307F9F"/>
    <w:rsid w:val="00321E57"/>
    <w:rsid w:val="003402F6"/>
    <w:rsid w:val="00344435"/>
    <w:rsid w:val="003453A3"/>
    <w:rsid w:val="00350F2A"/>
    <w:rsid w:val="0036149D"/>
    <w:rsid w:val="00370F22"/>
    <w:rsid w:val="003724A0"/>
    <w:rsid w:val="003725CA"/>
    <w:rsid w:val="00384A07"/>
    <w:rsid w:val="00393531"/>
    <w:rsid w:val="003935AD"/>
    <w:rsid w:val="00393E1B"/>
    <w:rsid w:val="003B0F15"/>
    <w:rsid w:val="003B4F00"/>
    <w:rsid w:val="003B6D32"/>
    <w:rsid w:val="003C0B43"/>
    <w:rsid w:val="003C4DC4"/>
    <w:rsid w:val="003C5519"/>
    <w:rsid w:val="003E32AD"/>
    <w:rsid w:val="003F0D26"/>
    <w:rsid w:val="003F3796"/>
    <w:rsid w:val="0040275E"/>
    <w:rsid w:val="004141DA"/>
    <w:rsid w:val="00417897"/>
    <w:rsid w:val="004307DC"/>
    <w:rsid w:val="00440D22"/>
    <w:rsid w:val="004463F7"/>
    <w:rsid w:val="0045151F"/>
    <w:rsid w:val="00457E5F"/>
    <w:rsid w:val="00461407"/>
    <w:rsid w:val="00467902"/>
    <w:rsid w:val="004C2702"/>
    <w:rsid w:val="004C3AED"/>
    <w:rsid w:val="004C66BB"/>
    <w:rsid w:val="004D4A32"/>
    <w:rsid w:val="004E60BF"/>
    <w:rsid w:val="00521DFE"/>
    <w:rsid w:val="00527422"/>
    <w:rsid w:val="00536DC3"/>
    <w:rsid w:val="0054583F"/>
    <w:rsid w:val="00557B72"/>
    <w:rsid w:val="0056000C"/>
    <w:rsid w:val="00571BED"/>
    <w:rsid w:val="00571F2D"/>
    <w:rsid w:val="0057495D"/>
    <w:rsid w:val="00587835"/>
    <w:rsid w:val="005A1A36"/>
    <w:rsid w:val="005C3EFE"/>
    <w:rsid w:val="005D5C4E"/>
    <w:rsid w:val="005E4604"/>
    <w:rsid w:val="005E4AF9"/>
    <w:rsid w:val="005E58CE"/>
    <w:rsid w:val="005F58AC"/>
    <w:rsid w:val="005F63DF"/>
    <w:rsid w:val="0060735C"/>
    <w:rsid w:val="00622E35"/>
    <w:rsid w:val="00634D35"/>
    <w:rsid w:val="00672038"/>
    <w:rsid w:val="006841C1"/>
    <w:rsid w:val="006920ED"/>
    <w:rsid w:val="0069644C"/>
    <w:rsid w:val="006A0947"/>
    <w:rsid w:val="006A77A2"/>
    <w:rsid w:val="006B1E60"/>
    <w:rsid w:val="006B2A97"/>
    <w:rsid w:val="006C3278"/>
    <w:rsid w:val="006E063C"/>
    <w:rsid w:val="006E3E42"/>
    <w:rsid w:val="006E70BD"/>
    <w:rsid w:val="00700516"/>
    <w:rsid w:val="00701922"/>
    <w:rsid w:val="007157A3"/>
    <w:rsid w:val="00717E92"/>
    <w:rsid w:val="007349A2"/>
    <w:rsid w:val="0074013F"/>
    <w:rsid w:val="00771CBA"/>
    <w:rsid w:val="007B6402"/>
    <w:rsid w:val="007D60AD"/>
    <w:rsid w:val="007E6C70"/>
    <w:rsid w:val="007E6E9C"/>
    <w:rsid w:val="007F1F73"/>
    <w:rsid w:val="007F55B3"/>
    <w:rsid w:val="00803407"/>
    <w:rsid w:val="00807895"/>
    <w:rsid w:val="008168F5"/>
    <w:rsid w:val="0083530D"/>
    <w:rsid w:val="00841254"/>
    <w:rsid w:val="00860ED5"/>
    <w:rsid w:val="00892361"/>
    <w:rsid w:val="008A1DAF"/>
    <w:rsid w:val="008B5D93"/>
    <w:rsid w:val="008C2C0F"/>
    <w:rsid w:val="008C7E63"/>
    <w:rsid w:val="008E6E03"/>
    <w:rsid w:val="0092779E"/>
    <w:rsid w:val="00933F8A"/>
    <w:rsid w:val="00934934"/>
    <w:rsid w:val="00935938"/>
    <w:rsid w:val="00940C74"/>
    <w:rsid w:val="009517BF"/>
    <w:rsid w:val="009524E1"/>
    <w:rsid w:val="00960A81"/>
    <w:rsid w:val="009670F9"/>
    <w:rsid w:val="00970991"/>
    <w:rsid w:val="00985D70"/>
    <w:rsid w:val="0099264E"/>
    <w:rsid w:val="009926FE"/>
    <w:rsid w:val="009A6A72"/>
    <w:rsid w:val="009B1DB2"/>
    <w:rsid w:val="009B3AA9"/>
    <w:rsid w:val="009E55E9"/>
    <w:rsid w:val="00A011D9"/>
    <w:rsid w:val="00A0244A"/>
    <w:rsid w:val="00A024A6"/>
    <w:rsid w:val="00A06AD0"/>
    <w:rsid w:val="00A11158"/>
    <w:rsid w:val="00A20D11"/>
    <w:rsid w:val="00A228F3"/>
    <w:rsid w:val="00A26942"/>
    <w:rsid w:val="00A31CD5"/>
    <w:rsid w:val="00A35CE0"/>
    <w:rsid w:val="00A35DC3"/>
    <w:rsid w:val="00A54ACF"/>
    <w:rsid w:val="00A6064E"/>
    <w:rsid w:val="00A80818"/>
    <w:rsid w:val="00A90434"/>
    <w:rsid w:val="00A9059F"/>
    <w:rsid w:val="00A90A0F"/>
    <w:rsid w:val="00AA469D"/>
    <w:rsid w:val="00AA5DB5"/>
    <w:rsid w:val="00AD0AA0"/>
    <w:rsid w:val="00AD22EA"/>
    <w:rsid w:val="00AD31D3"/>
    <w:rsid w:val="00AE0FE9"/>
    <w:rsid w:val="00AE4093"/>
    <w:rsid w:val="00AE6811"/>
    <w:rsid w:val="00AF1BC7"/>
    <w:rsid w:val="00B05D60"/>
    <w:rsid w:val="00B0683D"/>
    <w:rsid w:val="00B217B0"/>
    <w:rsid w:val="00B22EA4"/>
    <w:rsid w:val="00B23421"/>
    <w:rsid w:val="00B264B1"/>
    <w:rsid w:val="00B3102B"/>
    <w:rsid w:val="00B41530"/>
    <w:rsid w:val="00B44345"/>
    <w:rsid w:val="00B45521"/>
    <w:rsid w:val="00B46694"/>
    <w:rsid w:val="00B52F8E"/>
    <w:rsid w:val="00B672D2"/>
    <w:rsid w:val="00B735EC"/>
    <w:rsid w:val="00B849F8"/>
    <w:rsid w:val="00B90E57"/>
    <w:rsid w:val="00B91449"/>
    <w:rsid w:val="00BA2499"/>
    <w:rsid w:val="00BA580A"/>
    <w:rsid w:val="00BA7861"/>
    <w:rsid w:val="00BB2811"/>
    <w:rsid w:val="00BB3C49"/>
    <w:rsid w:val="00BB68BB"/>
    <w:rsid w:val="00BD1AB0"/>
    <w:rsid w:val="00BE3DAF"/>
    <w:rsid w:val="00BF642B"/>
    <w:rsid w:val="00C119E3"/>
    <w:rsid w:val="00C2196B"/>
    <w:rsid w:val="00C27DEE"/>
    <w:rsid w:val="00C35EEF"/>
    <w:rsid w:val="00C35F7A"/>
    <w:rsid w:val="00C364D4"/>
    <w:rsid w:val="00C36E86"/>
    <w:rsid w:val="00C45A84"/>
    <w:rsid w:val="00C45F99"/>
    <w:rsid w:val="00C55535"/>
    <w:rsid w:val="00C56EED"/>
    <w:rsid w:val="00C603DD"/>
    <w:rsid w:val="00C6097B"/>
    <w:rsid w:val="00C63B9B"/>
    <w:rsid w:val="00C70984"/>
    <w:rsid w:val="00C75E77"/>
    <w:rsid w:val="00C77D66"/>
    <w:rsid w:val="00C86AEC"/>
    <w:rsid w:val="00C93198"/>
    <w:rsid w:val="00C952A7"/>
    <w:rsid w:val="00CA63A1"/>
    <w:rsid w:val="00CB158C"/>
    <w:rsid w:val="00CB6303"/>
    <w:rsid w:val="00CC3D16"/>
    <w:rsid w:val="00CF1443"/>
    <w:rsid w:val="00D01827"/>
    <w:rsid w:val="00D07628"/>
    <w:rsid w:val="00D14FF1"/>
    <w:rsid w:val="00D2234C"/>
    <w:rsid w:val="00D23BB2"/>
    <w:rsid w:val="00D26B1B"/>
    <w:rsid w:val="00D4280A"/>
    <w:rsid w:val="00D57A87"/>
    <w:rsid w:val="00D62BBD"/>
    <w:rsid w:val="00D66B84"/>
    <w:rsid w:val="00D715C0"/>
    <w:rsid w:val="00D72456"/>
    <w:rsid w:val="00D73240"/>
    <w:rsid w:val="00D73D8B"/>
    <w:rsid w:val="00D76571"/>
    <w:rsid w:val="00D8459F"/>
    <w:rsid w:val="00DA108D"/>
    <w:rsid w:val="00DB6588"/>
    <w:rsid w:val="00DC3354"/>
    <w:rsid w:val="00DC6D92"/>
    <w:rsid w:val="00DD526E"/>
    <w:rsid w:val="00DE19B2"/>
    <w:rsid w:val="00DF00D3"/>
    <w:rsid w:val="00DF4174"/>
    <w:rsid w:val="00E0208A"/>
    <w:rsid w:val="00E02C01"/>
    <w:rsid w:val="00E058B4"/>
    <w:rsid w:val="00E116B0"/>
    <w:rsid w:val="00E140BB"/>
    <w:rsid w:val="00E249D6"/>
    <w:rsid w:val="00E402C0"/>
    <w:rsid w:val="00E41AB7"/>
    <w:rsid w:val="00E47D75"/>
    <w:rsid w:val="00E50AF2"/>
    <w:rsid w:val="00E50AF5"/>
    <w:rsid w:val="00E60777"/>
    <w:rsid w:val="00E61F5A"/>
    <w:rsid w:val="00E84727"/>
    <w:rsid w:val="00EA05A9"/>
    <w:rsid w:val="00EA11D7"/>
    <w:rsid w:val="00EA4586"/>
    <w:rsid w:val="00EA5750"/>
    <w:rsid w:val="00EA6368"/>
    <w:rsid w:val="00EB2DB6"/>
    <w:rsid w:val="00EB5A89"/>
    <w:rsid w:val="00EC63A8"/>
    <w:rsid w:val="00EC64AE"/>
    <w:rsid w:val="00ED35EF"/>
    <w:rsid w:val="00F14082"/>
    <w:rsid w:val="00F14D9A"/>
    <w:rsid w:val="00F16767"/>
    <w:rsid w:val="00F171F1"/>
    <w:rsid w:val="00F27490"/>
    <w:rsid w:val="00F32174"/>
    <w:rsid w:val="00F372B3"/>
    <w:rsid w:val="00F4314B"/>
    <w:rsid w:val="00F44232"/>
    <w:rsid w:val="00F94776"/>
    <w:rsid w:val="00FA65D0"/>
    <w:rsid w:val="00FA6640"/>
    <w:rsid w:val="00FB09C8"/>
    <w:rsid w:val="00FB5842"/>
    <w:rsid w:val="00FC3D55"/>
    <w:rsid w:val="00FD02D0"/>
    <w:rsid w:val="00FD330D"/>
    <w:rsid w:val="00FE452F"/>
    <w:rsid w:val="00FE4F32"/>
    <w:rsid w:val="00FF7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webSettings.xml><?xml version="1.0" encoding="utf-8"?>
<w:webSettings xmlns:r="http://schemas.openxmlformats.org/officeDocument/2006/relationships" xmlns:w="http://schemas.openxmlformats.org/wordprocessingml/2006/main">
  <w:divs>
    <w:div w:id="6953298">
      <w:bodyDiv w:val="1"/>
      <w:marLeft w:val="0"/>
      <w:marRight w:val="0"/>
      <w:marTop w:val="0"/>
      <w:marBottom w:val="0"/>
      <w:divBdr>
        <w:top w:val="none" w:sz="0" w:space="0" w:color="auto"/>
        <w:left w:val="none" w:sz="0" w:space="0" w:color="auto"/>
        <w:bottom w:val="none" w:sz="0" w:space="0" w:color="auto"/>
        <w:right w:val="none" w:sz="0" w:space="0" w:color="auto"/>
      </w:divBdr>
    </w:div>
    <w:div w:id="61486064">
      <w:bodyDiv w:val="1"/>
      <w:marLeft w:val="0"/>
      <w:marRight w:val="0"/>
      <w:marTop w:val="0"/>
      <w:marBottom w:val="0"/>
      <w:divBdr>
        <w:top w:val="none" w:sz="0" w:space="0" w:color="auto"/>
        <w:left w:val="none" w:sz="0" w:space="0" w:color="auto"/>
        <w:bottom w:val="none" w:sz="0" w:space="0" w:color="auto"/>
        <w:right w:val="none" w:sz="0" w:space="0" w:color="auto"/>
      </w:divBdr>
    </w:div>
    <w:div w:id="132676965">
      <w:bodyDiv w:val="1"/>
      <w:marLeft w:val="0"/>
      <w:marRight w:val="0"/>
      <w:marTop w:val="0"/>
      <w:marBottom w:val="0"/>
      <w:divBdr>
        <w:top w:val="none" w:sz="0" w:space="0" w:color="auto"/>
        <w:left w:val="none" w:sz="0" w:space="0" w:color="auto"/>
        <w:bottom w:val="none" w:sz="0" w:space="0" w:color="auto"/>
        <w:right w:val="none" w:sz="0" w:space="0" w:color="auto"/>
      </w:divBdr>
    </w:div>
    <w:div w:id="174928281">
      <w:bodyDiv w:val="1"/>
      <w:marLeft w:val="0"/>
      <w:marRight w:val="0"/>
      <w:marTop w:val="0"/>
      <w:marBottom w:val="0"/>
      <w:divBdr>
        <w:top w:val="none" w:sz="0" w:space="0" w:color="auto"/>
        <w:left w:val="none" w:sz="0" w:space="0" w:color="auto"/>
        <w:bottom w:val="none" w:sz="0" w:space="0" w:color="auto"/>
        <w:right w:val="none" w:sz="0" w:space="0" w:color="auto"/>
      </w:divBdr>
    </w:div>
    <w:div w:id="176385663">
      <w:bodyDiv w:val="1"/>
      <w:marLeft w:val="0"/>
      <w:marRight w:val="0"/>
      <w:marTop w:val="0"/>
      <w:marBottom w:val="0"/>
      <w:divBdr>
        <w:top w:val="none" w:sz="0" w:space="0" w:color="auto"/>
        <w:left w:val="none" w:sz="0" w:space="0" w:color="auto"/>
        <w:bottom w:val="none" w:sz="0" w:space="0" w:color="auto"/>
        <w:right w:val="none" w:sz="0" w:space="0" w:color="auto"/>
      </w:divBdr>
    </w:div>
    <w:div w:id="211432446">
      <w:bodyDiv w:val="1"/>
      <w:marLeft w:val="0"/>
      <w:marRight w:val="0"/>
      <w:marTop w:val="0"/>
      <w:marBottom w:val="0"/>
      <w:divBdr>
        <w:top w:val="none" w:sz="0" w:space="0" w:color="auto"/>
        <w:left w:val="none" w:sz="0" w:space="0" w:color="auto"/>
        <w:bottom w:val="none" w:sz="0" w:space="0" w:color="auto"/>
        <w:right w:val="none" w:sz="0" w:space="0" w:color="auto"/>
      </w:divBdr>
    </w:div>
    <w:div w:id="237710585">
      <w:bodyDiv w:val="1"/>
      <w:marLeft w:val="0"/>
      <w:marRight w:val="0"/>
      <w:marTop w:val="0"/>
      <w:marBottom w:val="0"/>
      <w:divBdr>
        <w:top w:val="none" w:sz="0" w:space="0" w:color="auto"/>
        <w:left w:val="none" w:sz="0" w:space="0" w:color="auto"/>
        <w:bottom w:val="none" w:sz="0" w:space="0" w:color="auto"/>
        <w:right w:val="none" w:sz="0" w:space="0" w:color="auto"/>
      </w:divBdr>
    </w:div>
    <w:div w:id="360590695">
      <w:bodyDiv w:val="1"/>
      <w:marLeft w:val="0"/>
      <w:marRight w:val="0"/>
      <w:marTop w:val="0"/>
      <w:marBottom w:val="0"/>
      <w:divBdr>
        <w:top w:val="none" w:sz="0" w:space="0" w:color="auto"/>
        <w:left w:val="none" w:sz="0" w:space="0" w:color="auto"/>
        <w:bottom w:val="none" w:sz="0" w:space="0" w:color="auto"/>
        <w:right w:val="none" w:sz="0" w:space="0" w:color="auto"/>
      </w:divBdr>
    </w:div>
    <w:div w:id="372577131">
      <w:bodyDiv w:val="1"/>
      <w:marLeft w:val="0"/>
      <w:marRight w:val="0"/>
      <w:marTop w:val="0"/>
      <w:marBottom w:val="0"/>
      <w:divBdr>
        <w:top w:val="none" w:sz="0" w:space="0" w:color="auto"/>
        <w:left w:val="none" w:sz="0" w:space="0" w:color="auto"/>
        <w:bottom w:val="none" w:sz="0" w:space="0" w:color="auto"/>
        <w:right w:val="none" w:sz="0" w:space="0" w:color="auto"/>
      </w:divBdr>
    </w:div>
    <w:div w:id="543980834">
      <w:bodyDiv w:val="1"/>
      <w:marLeft w:val="0"/>
      <w:marRight w:val="0"/>
      <w:marTop w:val="0"/>
      <w:marBottom w:val="0"/>
      <w:divBdr>
        <w:top w:val="none" w:sz="0" w:space="0" w:color="auto"/>
        <w:left w:val="none" w:sz="0" w:space="0" w:color="auto"/>
        <w:bottom w:val="none" w:sz="0" w:space="0" w:color="auto"/>
        <w:right w:val="none" w:sz="0" w:space="0" w:color="auto"/>
      </w:divBdr>
    </w:div>
    <w:div w:id="979502302">
      <w:bodyDiv w:val="1"/>
      <w:marLeft w:val="0"/>
      <w:marRight w:val="0"/>
      <w:marTop w:val="0"/>
      <w:marBottom w:val="0"/>
      <w:divBdr>
        <w:top w:val="none" w:sz="0" w:space="0" w:color="auto"/>
        <w:left w:val="none" w:sz="0" w:space="0" w:color="auto"/>
        <w:bottom w:val="none" w:sz="0" w:space="0" w:color="auto"/>
        <w:right w:val="none" w:sz="0" w:space="0" w:color="auto"/>
      </w:divBdr>
    </w:div>
    <w:div w:id="1011296994">
      <w:bodyDiv w:val="1"/>
      <w:marLeft w:val="0"/>
      <w:marRight w:val="0"/>
      <w:marTop w:val="0"/>
      <w:marBottom w:val="0"/>
      <w:divBdr>
        <w:top w:val="none" w:sz="0" w:space="0" w:color="auto"/>
        <w:left w:val="none" w:sz="0" w:space="0" w:color="auto"/>
        <w:bottom w:val="none" w:sz="0" w:space="0" w:color="auto"/>
        <w:right w:val="none" w:sz="0" w:space="0" w:color="auto"/>
      </w:divBdr>
    </w:div>
    <w:div w:id="1084231172">
      <w:bodyDiv w:val="1"/>
      <w:marLeft w:val="0"/>
      <w:marRight w:val="0"/>
      <w:marTop w:val="0"/>
      <w:marBottom w:val="0"/>
      <w:divBdr>
        <w:top w:val="none" w:sz="0" w:space="0" w:color="auto"/>
        <w:left w:val="none" w:sz="0" w:space="0" w:color="auto"/>
        <w:bottom w:val="none" w:sz="0" w:space="0" w:color="auto"/>
        <w:right w:val="none" w:sz="0" w:space="0" w:color="auto"/>
      </w:divBdr>
    </w:div>
    <w:div w:id="1197936134">
      <w:bodyDiv w:val="1"/>
      <w:marLeft w:val="0"/>
      <w:marRight w:val="0"/>
      <w:marTop w:val="0"/>
      <w:marBottom w:val="0"/>
      <w:divBdr>
        <w:top w:val="none" w:sz="0" w:space="0" w:color="auto"/>
        <w:left w:val="none" w:sz="0" w:space="0" w:color="auto"/>
        <w:bottom w:val="none" w:sz="0" w:space="0" w:color="auto"/>
        <w:right w:val="none" w:sz="0" w:space="0" w:color="auto"/>
      </w:divBdr>
    </w:div>
    <w:div w:id="1228684536">
      <w:bodyDiv w:val="1"/>
      <w:marLeft w:val="0"/>
      <w:marRight w:val="0"/>
      <w:marTop w:val="0"/>
      <w:marBottom w:val="0"/>
      <w:divBdr>
        <w:top w:val="none" w:sz="0" w:space="0" w:color="auto"/>
        <w:left w:val="none" w:sz="0" w:space="0" w:color="auto"/>
        <w:bottom w:val="none" w:sz="0" w:space="0" w:color="auto"/>
        <w:right w:val="none" w:sz="0" w:space="0" w:color="auto"/>
      </w:divBdr>
    </w:div>
    <w:div w:id="1234311520">
      <w:bodyDiv w:val="1"/>
      <w:marLeft w:val="0"/>
      <w:marRight w:val="0"/>
      <w:marTop w:val="0"/>
      <w:marBottom w:val="0"/>
      <w:divBdr>
        <w:top w:val="none" w:sz="0" w:space="0" w:color="auto"/>
        <w:left w:val="none" w:sz="0" w:space="0" w:color="auto"/>
        <w:bottom w:val="none" w:sz="0" w:space="0" w:color="auto"/>
        <w:right w:val="none" w:sz="0" w:space="0" w:color="auto"/>
      </w:divBdr>
    </w:div>
    <w:div w:id="1266039102">
      <w:bodyDiv w:val="1"/>
      <w:marLeft w:val="0"/>
      <w:marRight w:val="0"/>
      <w:marTop w:val="0"/>
      <w:marBottom w:val="0"/>
      <w:divBdr>
        <w:top w:val="none" w:sz="0" w:space="0" w:color="auto"/>
        <w:left w:val="none" w:sz="0" w:space="0" w:color="auto"/>
        <w:bottom w:val="none" w:sz="0" w:space="0" w:color="auto"/>
        <w:right w:val="none" w:sz="0" w:space="0" w:color="auto"/>
      </w:divBdr>
    </w:div>
    <w:div w:id="1295134609">
      <w:bodyDiv w:val="1"/>
      <w:marLeft w:val="0"/>
      <w:marRight w:val="0"/>
      <w:marTop w:val="0"/>
      <w:marBottom w:val="0"/>
      <w:divBdr>
        <w:top w:val="none" w:sz="0" w:space="0" w:color="auto"/>
        <w:left w:val="none" w:sz="0" w:space="0" w:color="auto"/>
        <w:bottom w:val="none" w:sz="0" w:space="0" w:color="auto"/>
        <w:right w:val="none" w:sz="0" w:space="0" w:color="auto"/>
      </w:divBdr>
    </w:div>
    <w:div w:id="1391076451">
      <w:bodyDiv w:val="1"/>
      <w:marLeft w:val="0"/>
      <w:marRight w:val="0"/>
      <w:marTop w:val="0"/>
      <w:marBottom w:val="0"/>
      <w:divBdr>
        <w:top w:val="none" w:sz="0" w:space="0" w:color="auto"/>
        <w:left w:val="none" w:sz="0" w:space="0" w:color="auto"/>
        <w:bottom w:val="none" w:sz="0" w:space="0" w:color="auto"/>
        <w:right w:val="none" w:sz="0" w:space="0" w:color="auto"/>
      </w:divBdr>
    </w:div>
    <w:div w:id="1435319749">
      <w:bodyDiv w:val="1"/>
      <w:marLeft w:val="0"/>
      <w:marRight w:val="0"/>
      <w:marTop w:val="0"/>
      <w:marBottom w:val="0"/>
      <w:divBdr>
        <w:top w:val="none" w:sz="0" w:space="0" w:color="auto"/>
        <w:left w:val="none" w:sz="0" w:space="0" w:color="auto"/>
        <w:bottom w:val="none" w:sz="0" w:space="0" w:color="auto"/>
        <w:right w:val="none" w:sz="0" w:space="0" w:color="auto"/>
      </w:divBdr>
      <w:divsChild>
        <w:div w:id="800850589">
          <w:marLeft w:val="0"/>
          <w:marRight w:val="0"/>
          <w:marTop w:val="0"/>
          <w:marBottom w:val="0"/>
          <w:divBdr>
            <w:top w:val="none" w:sz="0" w:space="0" w:color="auto"/>
            <w:left w:val="none" w:sz="0" w:space="0" w:color="auto"/>
            <w:bottom w:val="none" w:sz="0" w:space="0" w:color="auto"/>
            <w:right w:val="none" w:sz="0" w:space="0" w:color="auto"/>
          </w:divBdr>
          <w:divsChild>
            <w:div w:id="946961341">
              <w:marLeft w:val="0"/>
              <w:marRight w:val="0"/>
              <w:marTop w:val="0"/>
              <w:marBottom w:val="0"/>
              <w:divBdr>
                <w:top w:val="none" w:sz="0" w:space="0" w:color="auto"/>
                <w:left w:val="none" w:sz="0" w:space="0" w:color="auto"/>
                <w:bottom w:val="none" w:sz="0" w:space="0" w:color="auto"/>
                <w:right w:val="none" w:sz="0" w:space="0" w:color="auto"/>
              </w:divBdr>
              <w:divsChild>
                <w:div w:id="423652434">
                  <w:marLeft w:val="0"/>
                  <w:marRight w:val="0"/>
                  <w:marTop w:val="0"/>
                  <w:marBottom w:val="0"/>
                  <w:divBdr>
                    <w:top w:val="none" w:sz="0" w:space="0" w:color="auto"/>
                    <w:left w:val="none" w:sz="0" w:space="0" w:color="auto"/>
                    <w:bottom w:val="none" w:sz="0" w:space="0" w:color="auto"/>
                    <w:right w:val="none" w:sz="0" w:space="0" w:color="auto"/>
                  </w:divBdr>
                  <w:divsChild>
                    <w:div w:id="1105734506">
                      <w:marLeft w:val="0"/>
                      <w:marRight w:val="0"/>
                      <w:marTop w:val="0"/>
                      <w:marBottom w:val="0"/>
                      <w:divBdr>
                        <w:top w:val="none" w:sz="0" w:space="0" w:color="auto"/>
                        <w:left w:val="none" w:sz="0" w:space="0" w:color="auto"/>
                        <w:bottom w:val="none" w:sz="0" w:space="0" w:color="auto"/>
                        <w:right w:val="none" w:sz="0" w:space="0" w:color="auto"/>
                      </w:divBdr>
                      <w:divsChild>
                        <w:div w:id="1905220336">
                          <w:marLeft w:val="0"/>
                          <w:marRight w:val="0"/>
                          <w:marTop w:val="0"/>
                          <w:marBottom w:val="0"/>
                          <w:divBdr>
                            <w:top w:val="single" w:sz="6" w:space="2" w:color="1060AC"/>
                            <w:left w:val="single" w:sz="6" w:space="2" w:color="1060AC"/>
                            <w:bottom w:val="single" w:sz="6" w:space="2" w:color="1060AC"/>
                            <w:right w:val="single" w:sz="6" w:space="2" w:color="1060AC"/>
                          </w:divBdr>
                          <w:divsChild>
                            <w:div w:id="1618756926">
                              <w:marLeft w:val="72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70147">
      <w:bodyDiv w:val="1"/>
      <w:marLeft w:val="0"/>
      <w:marRight w:val="0"/>
      <w:marTop w:val="0"/>
      <w:marBottom w:val="0"/>
      <w:divBdr>
        <w:top w:val="none" w:sz="0" w:space="0" w:color="auto"/>
        <w:left w:val="none" w:sz="0" w:space="0" w:color="auto"/>
        <w:bottom w:val="none" w:sz="0" w:space="0" w:color="auto"/>
        <w:right w:val="none" w:sz="0" w:space="0" w:color="auto"/>
      </w:divBdr>
    </w:div>
    <w:div w:id="1508785503">
      <w:bodyDiv w:val="1"/>
      <w:marLeft w:val="0"/>
      <w:marRight w:val="0"/>
      <w:marTop w:val="0"/>
      <w:marBottom w:val="0"/>
      <w:divBdr>
        <w:top w:val="none" w:sz="0" w:space="0" w:color="auto"/>
        <w:left w:val="none" w:sz="0" w:space="0" w:color="auto"/>
        <w:bottom w:val="none" w:sz="0" w:space="0" w:color="auto"/>
        <w:right w:val="none" w:sz="0" w:space="0" w:color="auto"/>
      </w:divBdr>
    </w:div>
    <w:div w:id="1509247996">
      <w:bodyDiv w:val="1"/>
      <w:marLeft w:val="0"/>
      <w:marRight w:val="0"/>
      <w:marTop w:val="0"/>
      <w:marBottom w:val="0"/>
      <w:divBdr>
        <w:top w:val="none" w:sz="0" w:space="0" w:color="auto"/>
        <w:left w:val="none" w:sz="0" w:space="0" w:color="auto"/>
        <w:bottom w:val="none" w:sz="0" w:space="0" w:color="auto"/>
        <w:right w:val="none" w:sz="0" w:space="0" w:color="auto"/>
      </w:divBdr>
    </w:div>
    <w:div w:id="1537353014">
      <w:bodyDiv w:val="1"/>
      <w:marLeft w:val="0"/>
      <w:marRight w:val="0"/>
      <w:marTop w:val="0"/>
      <w:marBottom w:val="0"/>
      <w:divBdr>
        <w:top w:val="none" w:sz="0" w:space="0" w:color="auto"/>
        <w:left w:val="none" w:sz="0" w:space="0" w:color="auto"/>
        <w:bottom w:val="none" w:sz="0" w:space="0" w:color="auto"/>
        <w:right w:val="none" w:sz="0" w:space="0" w:color="auto"/>
      </w:divBdr>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
    <w:div w:id="1849523218">
      <w:bodyDiv w:val="1"/>
      <w:marLeft w:val="0"/>
      <w:marRight w:val="0"/>
      <w:marTop w:val="0"/>
      <w:marBottom w:val="0"/>
      <w:divBdr>
        <w:top w:val="none" w:sz="0" w:space="0" w:color="auto"/>
        <w:left w:val="none" w:sz="0" w:space="0" w:color="auto"/>
        <w:bottom w:val="none" w:sz="0" w:space="0" w:color="auto"/>
        <w:right w:val="none" w:sz="0" w:space="0" w:color="auto"/>
      </w:divBdr>
    </w:div>
    <w:div w:id="19261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2010-11-08T00:00:00</PublishDate>
  <Abstract>SCMers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797F2-6D3D-4F6D-8B54-DA5C2B93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Applichem</vt:lpstr>
    </vt:vector>
  </TitlesOfParts>
  <Company>Hewlett-Packard</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Applichem</dc:title>
  <dc:subject>Instructor: Sachin Modi</dc:subject>
  <dc:creator>6 September 2010, Fall 2010</dc:creator>
  <cp:lastModifiedBy>Meagan Frances</cp:lastModifiedBy>
  <cp:revision>19</cp:revision>
  <cp:lastPrinted>2010-09-07T19:19:00Z</cp:lastPrinted>
  <dcterms:created xsi:type="dcterms:W3CDTF">2010-11-08T22:11:00Z</dcterms:created>
  <dcterms:modified xsi:type="dcterms:W3CDTF">2010-11-08T22:41:00Z</dcterms:modified>
</cp:coreProperties>
</file>