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1AB9B" w14:textId="4AFA0156" w:rsidR="00772B67" w:rsidRPr="0000146A" w:rsidRDefault="0000146A" w:rsidP="008B458A">
      <w:pPr>
        <w:jc w:val="center"/>
        <w:rPr>
          <w:rFonts w:ascii="Arial" w:hAnsi="Arial" w:cs="Arial"/>
          <w:b/>
          <w:sz w:val="48"/>
          <w:szCs w:val="48"/>
        </w:rPr>
      </w:pPr>
      <w:bookmarkStart w:id="0" w:name="_GoBack"/>
      <w:bookmarkEnd w:id="0"/>
      <w:r w:rsidRPr="0000146A">
        <w:rPr>
          <w:rFonts w:ascii="Arial" w:hAnsi="Arial" w:cs="Arial"/>
          <w:b/>
          <w:sz w:val="48"/>
          <w:szCs w:val="48"/>
        </w:rPr>
        <w:t>WINTER NEWSLETTER</w:t>
      </w:r>
    </w:p>
    <w:p w14:paraId="2EF01247" w14:textId="77777777" w:rsidR="0000146A" w:rsidRDefault="0000146A" w:rsidP="008B458A">
      <w:pPr>
        <w:jc w:val="center"/>
        <w:rPr>
          <w:rFonts w:ascii="Arial" w:hAnsi="Arial" w:cs="Arial"/>
          <w:b/>
        </w:rPr>
      </w:pPr>
    </w:p>
    <w:p w14:paraId="40CAC4A6" w14:textId="0ABE4605" w:rsidR="00AF1C43" w:rsidRDefault="00A23F5E" w:rsidP="0000146A">
      <w:pPr>
        <w:rPr>
          <w:rFonts w:ascii="Arial" w:hAnsi="Arial" w:cs="Arial"/>
          <w:b/>
        </w:rPr>
      </w:pPr>
      <w:r>
        <w:rPr>
          <w:rFonts w:ascii="Arial" w:hAnsi="Arial" w:cs="Arial"/>
          <w:b/>
          <w:noProof/>
          <w:lang w:eastAsia="en-GB"/>
        </w:rPr>
        <w:drawing>
          <wp:inline distT="0" distB="0" distL="0" distR="0" wp14:anchorId="0E1BF909" wp14:editId="4D06D9B8">
            <wp:extent cx="259923" cy="2673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8-02-12 14.11.18.png"/>
                    <pic:cNvPicPr/>
                  </pic:nvPicPr>
                  <pic:blipFill>
                    <a:blip r:embed="rId7"/>
                    <a:stretch>
                      <a:fillRect/>
                    </a:stretch>
                  </pic:blipFill>
                  <pic:spPr>
                    <a:xfrm>
                      <a:off x="0" y="0"/>
                      <a:ext cx="271919" cy="279716"/>
                    </a:xfrm>
                    <a:prstGeom prst="rect">
                      <a:avLst/>
                    </a:prstGeom>
                  </pic:spPr>
                </pic:pic>
              </a:graphicData>
            </a:graphic>
          </wp:inline>
        </w:drawing>
      </w:r>
      <w:r>
        <w:rPr>
          <w:rFonts w:ascii="Arial" w:hAnsi="Arial" w:cs="Arial"/>
          <w:b/>
        </w:rPr>
        <w:t xml:space="preserve"> </w:t>
      </w:r>
      <w:r w:rsidR="004307C1">
        <w:rPr>
          <w:rFonts w:ascii="Arial" w:hAnsi="Arial" w:cs="Arial"/>
          <w:b/>
        </w:rPr>
        <w:t>THE WORKING DAY</w:t>
      </w:r>
    </w:p>
    <w:p w14:paraId="5E453EE1" w14:textId="74D121E5" w:rsidR="00AF1C43" w:rsidRPr="00AF1C43" w:rsidRDefault="00AF1C43" w:rsidP="0000146A">
      <w:pPr>
        <w:rPr>
          <w:rFonts w:ascii="Arial" w:hAnsi="Arial" w:cs="Arial"/>
        </w:rPr>
      </w:pPr>
      <w:r>
        <w:rPr>
          <w:rFonts w:ascii="Arial" w:hAnsi="Arial" w:cs="Arial"/>
        </w:rPr>
        <w:t xml:space="preserve">UCU is pleased that the University has capitulated on its proposal to change the start time of the working day </w:t>
      </w:r>
      <w:r w:rsidR="0012452B">
        <w:rPr>
          <w:rFonts w:ascii="Arial" w:hAnsi="Arial" w:cs="Arial"/>
        </w:rPr>
        <w:t>from 0915 to 0900</w:t>
      </w:r>
      <w:r>
        <w:rPr>
          <w:rFonts w:ascii="Arial" w:hAnsi="Arial" w:cs="Arial"/>
        </w:rPr>
        <w:t xml:space="preserve">.  UCU had already provided management with survey data that clearly demonstrated that the majority of UCU members did not want a change and that some 50% would be negatively impacted due to caring responsibilities. We had also argued that the 0915 start was consistent with </w:t>
      </w:r>
      <w:r w:rsidR="004F39E7">
        <w:rPr>
          <w:rFonts w:ascii="Arial" w:hAnsi="Arial" w:cs="Arial"/>
        </w:rPr>
        <w:t xml:space="preserve">the </w:t>
      </w:r>
      <w:r>
        <w:rPr>
          <w:rFonts w:ascii="Arial" w:hAnsi="Arial" w:cs="Arial"/>
        </w:rPr>
        <w:t>Athena SWANN charter (</w:t>
      </w:r>
      <w:hyperlink r:id="rId8" w:history="1">
        <w:r w:rsidR="000420BC" w:rsidRPr="00B43039">
          <w:rPr>
            <w:rStyle w:val="Hyperlink"/>
            <w:rFonts w:ascii="Arial" w:hAnsi="Arial" w:cs="Arial"/>
          </w:rPr>
          <w:t>https://www.ecu.ac.uk/equality-charters/athena-swan/</w:t>
        </w:r>
      </w:hyperlink>
      <w:r w:rsidR="000420BC">
        <w:rPr>
          <w:rFonts w:ascii="Arial" w:hAnsi="Arial" w:cs="Arial"/>
        </w:rPr>
        <w:t>); was greener reducing time spent in rush hour traffic and was a competitive advantage in recruitment of staff and students.</w:t>
      </w:r>
      <w:r>
        <w:rPr>
          <w:rFonts w:ascii="Arial" w:hAnsi="Arial" w:cs="Arial"/>
        </w:rPr>
        <w:t xml:space="preserve"> </w:t>
      </w:r>
    </w:p>
    <w:p w14:paraId="08585BEA" w14:textId="77777777" w:rsidR="00AF1C43" w:rsidRDefault="00AF1C43" w:rsidP="0000146A">
      <w:pPr>
        <w:rPr>
          <w:rFonts w:ascii="Arial" w:hAnsi="Arial" w:cs="Arial"/>
          <w:b/>
        </w:rPr>
      </w:pPr>
    </w:p>
    <w:p w14:paraId="788A6640" w14:textId="133F137A" w:rsidR="0000146A" w:rsidRDefault="004307C1" w:rsidP="0000146A">
      <w:pPr>
        <w:rPr>
          <w:rFonts w:ascii="Arial" w:hAnsi="Arial" w:cs="Arial"/>
          <w:b/>
        </w:rPr>
      </w:pPr>
      <w:r>
        <w:rPr>
          <w:rFonts w:ascii="Arial" w:hAnsi="Arial" w:cs="Arial"/>
          <w:b/>
        </w:rPr>
        <w:t>WORKLOAD</w:t>
      </w:r>
    </w:p>
    <w:p w14:paraId="3802ECE8" w14:textId="21600F7F" w:rsidR="0000146A" w:rsidRDefault="00574BDA" w:rsidP="0000146A">
      <w:pPr>
        <w:rPr>
          <w:rFonts w:ascii="Arial" w:hAnsi="Arial" w:cs="Arial"/>
        </w:rPr>
      </w:pPr>
      <w:r w:rsidRPr="00B16B46">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 100</w:t>
      </w:r>
      <w:r w:rsidR="00B16B46" w:rsidRPr="00B16B46">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6B46">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146A">
        <w:rPr>
          <w:rFonts w:ascii="Arial" w:hAnsi="Arial" w:cs="Arial"/>
        </w:rPr>
        <w:t xml:space="preserve">It has been agreed that ASLs and HoS should ensure that no member of staff exceeds 100%. </w:t>
      </w:r>
      <w:r w:rsidR="000420BC">
        <w:rPr>
          <w:rFonts w:ascii="Arial" w:hAnsi="Arial" w:cs="Arial"/>
        </w:rPr>
        <w:t>UCU is concerned about the potentially negative impact overwork has on the health and well-being of staff. We will support individual and collective grievances where necessary.</w:t>
      </w:r>
      <w:r w:rsidR="00B16B46">
        <w:rPr>
          <w:rFonts w:ascii="Arial" w:hAnsi="Arial" w:cs="Arial"/>
        </w:rPr>
        <w:t xml:space="preserve"> UCU is still open to discussing very exceptional circumstances but only if we can safeguard staff and additional payment is agreed.</w:t>
      </w:r>
    </w:p>
    <w:p w14:paraId="1622AE99" w14:textId="77777777" w:rsidR="0000146A" w:rsidRDefault="0000146A" w:rsidP="0000146A">
      <w:pPr>
        <w:rPr>
          <w:rFonts w:ascii="Arial" w:hAnsi="Arial" w:cs="Arial"/>
        </w:rPr>
      </w:pPr>
    </w:p>
    <w:p w14:paraId="6D5631B5" w14:textId="6D2C7063" w:rsidR="00A23F5E" w:rsidRDefault="004307C1" w:rsidP="0000146A">
      <w:pPr>
        <w:rPr>
          <w:rFonts w:ascii="Arial" w:hAnsi="Arial" w:cs="Arial"/>
          <w:b/>
        </w:rPr>
      </w:pPr>
      <w:r>
        <w:rPr>
          <w:rFonts w:ascii="Arial" w:hAnsi="Arial" w:cs="Arial"/>
          <w:b/>
        </w:rPr>
        <w:t>ASSESSMENT OF STUDENTS</w:t>
      </w:r>
    </w:p>
    <w:p w14:paraId="60C4192F" w14:textId="17CC87D4" w:rsidR="00AF1C43" w:rsidRDefault="00B16B46" w:rsidP="0000146A">
      <w:pPr>
        <w:rPr>
          <w:rFonts w:ascii="Arial" w:hAnsi="Arial" w:cs="Arial"/>
        </w:rPr>
      </w:pPr>
      <w:r w:rsidRPr="00B16B46">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minutes = 30 minutes</w:t>
      </w:r>
      <w:r>
        <w:rPr>
          <w:rFonts w:ascii="Arial" w:hAnsi="Arial" w:cs="Arial"/>
        </w:rPr>
        <w:t xml:space="preserve"> </w:t>
      </w:r>
      <w:r w:rsidR="0000146A">
        <w:rPr>
          <w:rFonts w:ascii="Arial" w:hAnsi="Arial" w:cs="Arial"/>
        </w:rPr>
        <w:t>The current WAM allows 30 mins/student/15 CATS module. It has been agreed that ASLs must ensure that the total assessment load is achievable in the time allowed taking into account the number o</w:t>
      </w:r>
      <w:r w:rsidR="00AF1C43">
        <w:rPr>
          <w:rFonts w:ascii="Arial" w:hAnsi="Arial" w:cs="Arial"/>
        </w:rPr>
        <w:t xml:space="preserve">f assessment points, length and </w:t>
      </w:r>
      <w:r w:rsidR="0000146A">
        <w:rPr>
          <w:rFonts w:ascii="Arial" w:hAnsi="Arial" w:cs="Arial"/>
        </w:rPr>
        <w:t>types of assessment</w:t>
      </w:r>
      <w:r w:rsidR="00AF1C43">
        <w:rPr>
          <w:rFonts w:ascii="Arial" w:hAnsi="Arial" w:cs="Arial"/>
        </w:rPr>
        <w:t xml:space="preserve"> and feedback. Validation and ASPs are key gatekeeping points that should record the consideration given to assessment time.</w:t>
      </w:r>
      <w:r w:rsidR="000420BC">
        <w:rPr>
          <w:rFonts w:ascii="Arial" w:hAnsi="Arial" w:cs="Arial"/>
        </w:rPr>
        <w:t xml:space="preserve">  Please contact UCU if you need support.</w:t>
      </w:r>
    </w:p>
    <w:p w14:paraId="7289E78A" w14:textId="77777777" w:rsidR="000420BC" w:rsidRPr="000420BC" w:rsidRDefault="000420BC" w:rsidP="0000146A">
      <w:pPr>
        <w:rPr>
          <w:rFonts w:ascii="Arial" w:hAnsi="Arial" w:cs="Arial"/>
          <w:b/>
        </w:rPr>
      </w:pPr>
    </w:p>
    <w:p w14:paraId="063E42FE" w14:textId="286BE0B4" w:rsidR="000420BC" w:rsidRDefault="004307C1" w:rsidP="0000146A">
      <w:pPr>
        <w:rPr>
          <w:rFonts w:ascii="Arial" w:hAnsi="Arial" w:cs="Arial"/>
          <w:b/>
        </w:rPr>
      </w:pPr>
      <w:r>
        <w:rPr>
          <w:rFonts w:ascii="Arial" w:hAnsi="Arial" w:cs="Arial"/>
          <w:b/>
        </w:rPr>
        <w:t>ACADEMIC COURSE LEADERS</w:t>
      </w:r>
    </w:p>
    <w:p w14:paraId="1198DA10" w14:textId="47152199" w:rsidR="00AC020C" w:rsidRDefault="00B16B46" w:rsidP="0000146A">
      <w:pPr>
        <w:rPr>
          <w:rFonts w:ascii="Arial" w:hAnsi="Arial" w:cs="Arial"/>
        </w:rPr>
      </w:pPr>
      <w:r w:rsidRPr="00AD1F84">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20BC">
        <w:rPr>
          <w:rFonts w:ascii="Arial" w:hAnsi="Arial" w:cs="Arial"/>
        </w:rPr>
        <w:t>UCU is continuing to argue for the restoration of a financial allowance for ACLs and we have requested that the role is re-evaluated against the national academic role profiles. Historically, some course leaders were paid above the top of the SL scale.  Whilst the demands</w:t>
      </w:r>
      <w:r w:rsidR="00AC020C">
        <w:rPr>
          <w:rFonts w:ascii="Arial" w:hAnsi="Arial" w:cs="Arial"/>
        </w:rPr>
        <w:t xml:space="preserve"> on ACLs has increased the time and pay has not reflected this.  It is neither reasonable to compel people to do the ASL role nor is it a sensible way to ensure this essential activity is executed well.  It is no longer tenable for the executive to argue for cost neutral solutions when they can clearly find significant additional funds to support the uplift of all HoS salaries from grade 11 to 12.</w:t>
      </w:r>
    </w:p>
    <w:p w14:paraId="7D0E49C0" w14:textId="77777777" w:rsidR="00AC020C" w:rsidRDefault="00AC020C" w:rsidP="0000146A">
      <w:pPr>
        <w:rPr>
          <w:rFonts w:ascii="Arial" w:hAnsi="Arial" w:cs="Arial"/>
        </w:rPr>
      </w:pPr>
    </w:p>
    <w:p w14:paraId="1D9CB6B5" w14:textId="5EA73099" w:rsidR="000420BC" w:rsidRDefault="00AC020C" w:rsidP="0000146A">
      <w:pPr>
        <w:rPr>
          <w:rFonts w:ascii="Arial" w:hAnsi="Arial" w:cs="Arial"/>
        </w:rPr>
      </w:pPr>
      <w:r>
        <w:rPr>
          <w:rFonts w:ascii="Arial" w:hAnsi="Arial" w:cs="Arial"/>
        </w:rPr>
        <w:t xml:space="preserve">To date an offer of a 5% increase in ACL hours has been made in return for a 50% cut in the hours for tutors of part-time students. </w:t>
      </w:r>
    </w:p>
    <w:p w14:paraId="672EC5AE" w14:textId="77777777" w:rsidR="003F5C81" w:rsidRDefault="003F5C81" w:rsidP="0000146A">
      <w:pPr>
        <w:rPr>
          <w:rFonts w:ascii="Arial" w:hAnsi="Arial" w:cs="Arial"/>
          <w:b/>
        </w:rPr>
      </w:pPr>
    </w:p>
    <w:p w14:paraId="65A89E1D" w14:textId="5FFE321E" w:rsidR="003F5C81" w:rsidRDefault="004307C1" w:rsidP="0000146A">
      <w:pPr>
        <w:rPr>
          <w:rFonts w:ascii="Arial" w:hAnsi="Arial" w:cs="Arial"/>
          <w:b/>
        </w:rPr>
      </w:pPr>
      <w:r>
        <w:rPr>
          <w:rFonts w:ascii="Arial" w:hAnsi="Arial" w:cs="Arial"/>
          <w:b/>
        </w:rPr>
        <w:lastRenderedPageBreak/>
        <w:t>RESEARCH &amp; SCHOLARLY ACTIVITY</w:t>
      </w:r>
    </w:p>
    <w:p w14:paraId="10C6B97F" w14:textId="416E464C" w:rsidR="003F5C81" w:rsidRDefault="00AD1F84" w:rsidP="0000146A">
      <w:pPr>
        <w:rPr>
          <w:rFonts w:ascii="Arial" w:hAnsi="Arial" w:cs="Arial"/>
        </w:rPr>
      </w:pPr>
      <w:r>
        <w:rPr>
          <w:rFonts w:ascii="Arial" w:hAnsi="Arial" w:cs="Arial"/>
          <w:noProof/>
          <w:lang w:eastAsia="en-GB"/>
        </w:rPr>
        <w:drawing>
          <wp:inline distT="0" distB="0" distL="0" distR="0" wp14:anchorId="5BF9170F" wp14:editId="71BB81C5">
            <wp:extent cx="386862" cy="33801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02-12 17.45.13.png"/>
                    <pic:cNvPicPr/>
                  </pic:nvPicPr>
                  <pic:blipFill>
                    <a:blip r:embed="rId9"/>
                    <a:stretch>
                      <a:fillRect/>
                    </a:stretch>
                  </pic:blipFill>
                  <pic:spPr>
                    <a:xfrm>
                      <a:off x="0" y="0"/>
                      <a:ext cx="398791" cy="348434"/>
                    </a:xfrm>
                    <a:prstGeom prst="rect">
                      <a:avLst/>
                    </a:prstGeom>
                  </pic:spPr>
                </pic:pic>
              </a:graphicData>
            </a:graphic>
          </wp:inline>
        </w:drawing>
      </w:r>
      <w:r w:rsidR="00A23F5E">
        <w:rPr>
          <w:rFonts w:ascii="Arial" w:hAnsi="Arial" w:cs="Arial"/>
        </w:rPr>
        <w:t xml:space="preserve">  </w:t>
      </w:r>
      <w:r w:rsidR="003F5C81">
        <w:rPr>
          <w:rFonts w:ascii="Arial" w:hAnsi="Arial" w:cs="Arial"/>
        </w:rPr>
        <w:t>UCU continues to make representation about the erosion of RSA time by inadequate assessment time.  Whilst discussion of RSA continues, significant progress cannot be made until the assessment issue is properly resolved.</w:t>
      </w:r>
    </w:p>
    <w:p w14:paraId="086296EE" w14:textId="77777777" w:rsidR="003F5C81" w:rsidRDefault="003F5C81" w:rsidP="0000146A">
      <w:pPr>
        <w:rPr>
          <w:rFonts w:ascii="Arial" w:hAnsi="Arial" w:cs="Arial"/>
        </w:rPr>
      </w:pPr>
    </w:p>
    <w:p w14:paraId="3A42DD2C" w14:textId="5C66EE6C" w:rsidR="003F5C81" w:rsidRDefault="004307C1" w:rsidP="0000146A">
      <w:pPr>
        <w:rPr>
          <w:rFonts w:ascii="Arial" w:hAnsi="Arial" w:cs="Arial"/>
          <w:b/>
        </w:rPr>
      </w:pPr>
      <w:r>
        <w:rPr>
          <w:rFonts w:ascii="Arial" w:hAnsi="Arial" w:cs="Arial"/>
          <w:b/>
        </w:rPr>
        <w:t>ACADEMIC CAREER PROFILES</w:t>
      </w:r>
    </w:p>
    <w:p w14:paraId="424ED75B" w14:textId="273C7E37" w:rsidR="003F5C81" w:rsidRDefault="0054165E" w:rsidP="0000146A">
      <w:pPr>
        <w:rPr>
          <w:rFonts w:ascii="Arial" w:hAnsi="Arial" w:cs="Arial"/>
        </w:rPr>
      </w:pPr>
      <w:r w:rsidRPr="0054165E">
        <w:rPr>
          <w:rFonts w:ascii="Arial" w:hAnsi="Arial" w:cs="Arial"/>
          <w:strike/>
          <w:sz w:val="36"/>
          <w:szCs w:val="36"/>
        </w:rPr>
        <w:t>Grade 6</w:t>
      </w:r>
      <w:r>
        <w:rPr>
          <w:rFonts w:ascii="Arial" w:hAnsi="Arial" w:cs="Arial"/>
        </w:rPr>
        <w:t xml:space="preserve">  </w:t>
      </w:r>
      <w:r w:rsidR="005B0DA7">
        <w:rPr>
          <w:rFonts w:ascii="Arial" w:hAnsi="Arial" w:cs="Arial"/>
        </w:rPr>
        <w:t>UCU has argued for some years that the</w:t>
      </w:r>
      <w:r w:rsidR="004307C1">
        <w:rPr>
          <w:rFonts w:ascii="Arial" w:hAnsi="Arial" w:cs="Arial"/>
        </w:rPr>
        <w:t xml:space="preserve"> grade 8</w:t>
      </w:r>
      <w:r w:rsidR="005B0DA7">
        <w:rPr>
          <w:rFonts w:ascii="Arial" w:hAnsi="Arial" w:cs="Arial"/>
        </w:rPr>
        <w:t xml:space="preserve"> </w:t>
      </w:r>
      <w:r w:rsidR="004307C1">
        <w:rPr>
          <w:rFonts w:ascii="Arial" w:hAnsi="Arial" w:cs="Arial"/>
        </w:rPr>
        <w:t>(</w:t>
      </w:r>
      <w:r w:rsidR="005B0DA7">
        <w:rPr>
          <w:rFonts w:ascii="Arial" w:hAnsi="Arial" w:cs="Arial"/>
        </w:rPr>
        <w:t>S</w:t>
      </w:r>
      <w:r w:rsidR="004307C1">
        <w:rPr>
          <w:rFonts w:ascii="Arial" w:hAnsi="Arial" w:cs="Arial"/>
        </w:rPr>
        <w:t xml:space="preserve">enior </w:t>
      </w:r>
      <w:r w:rsidR="005B0DA7">
        <w:rPr>
          <w:rFonts w:ascii="Arial" w:hAnsi="Arial" w:cs="Arial"/>
        </w:rPr>
        <w:t>L</w:t>
      </w:r>
      <w:r w:rsidR="004307C1">
        <w:rPr>
          <w:rFonts w:ascii="Arial" w:hAnsi="Arial" w:cs="Arial"/>
        </w:rPr>
        <w:t>ecturer)</w:t>
      </w:r>
      <w:r w:rsidR="005B0DA7">
        <w:rPr>
          <w:rFonts w:ascii="Arial" w:hAnsi="Arial" w:cs="Arial"/>
        </w:rPr>
        <w:t xml:space="preserve"> glass ceiling needs to be addressed.</w:t>
      </w:r>
      <w:r>
        <w:rPr>
          <w:rFonts w:ascii="Arial" w:hAnsi="Arial" w:cs="Arial"/>
        </w:rPr>
        <w:t xml:space="preserve">  </w:t>
      </w:r>
      <w:r w:rsidR="00A23F5E">
        <w:rPr>
          <w:rFonts w:ascii="Arial" w:hAnsi="Arial" w:cs="Arial"/>
        </w:rPr>
        <w:t>The u</w:t>
      </w:r>
      <w:r w:rsidR="003F5C81">
        <w:rPr>
          <w:rFonts w:ascii="Arial" w:hAnsi="Arial" w:cs="Arial"/>
        </w:rPr>
        <w:t>niversity</w:t>
      </w:r>
      <w:r w:rsidR="005B0DA7">
        <w:rPr>
          <w:rFonts w:ascii="Arial" w:hAnsi="Arial" w:cs="Arial"/>
        </w:rPr>
        <w:t xml:space="preserve">’s response was to start </w:t>
      </w:r>
      <w:r w:rsidR="003F5C81">
        <w:rPr>
          <w:rFonts w:ascii="Arial" w:hAnsi="Arial" w:cs="Arial"/>
        </w:rPr>
        <w:t>developing a number of career profiles</w:t>
      </w:r>
      <w:r w:rsidR="00A51A4F">
        <w:rPr>
          <w:rFonts w:ascii="Arial" w:hAnsi="Arial" w:cs="Arial"/>
        </w:rPr>
        <w:t>.</w:t>
      </w:r>
      <w:r w:rsidR="003F5C81">
        <w:rPr>
          <w:rFonts w:ascii="Arial" w:hAnsi="Arial" w:cs="Arial"/>
        </w:rPr>
        <w:t xml:space="preserve"> </w:t>
      </w:r>
      <w:r>
        <w:rPr>
          <w:rFonts w:ascii="Arial" w:hAnsi="Arial" w:cs="Arial"/>
        </w:rPr>
        <w:t xml:space="preserve">We are concerned that here may be an attempt to push down </w:t>
      </w:r>
      <w:r w:rsidR="004307C1">
        <w:rPr>
          <w:rFonts w:ascii="Arial" w:hAnsi="Arial" w:cs="Arial"/>
        </w:rPr>
        <w:t>higher-level</w:t>
      </w:r>
      <w:r>
        <w:rPr>
          <w:rFonts w:ascii="Arial" w:hAnsi="Arial" w:cs="Arial"/>
        </w:rPr>
        <w:t xml:space="preserve"> work to lower grades. UCU has not been formerly consulted to date.  We expect any suggestions to be mapped against the national academic role profiles but have not been involved in the formative stage so wait to see the proposals.</w:t>
      </w:r>
      <w:r w:rsidR="00A23F5E">
        <w:rPr>
          <w:rFonts w:ascii="Arial" w:hAnsi="Arial" w:cs="Arial"/>
        </w:rPr>
        <w:t xml:space="preserve">  </w:t>
      </w:r>
      <w:r>
        <w:rPr>
          <w:rFonts w:ascii="Arial" w:hAnsi="Arial" w:cs="Arial"/>
        </w:rPr>
        <w:t>Grade 6 is not part of the post-</w:t>
      </w:r>
      <w:r w:rsidR="00A23F5E">
        <w:rPr>
          <w:rFonts w:ascii="Arial" w:hAnsi="Arial" w:cs="Arial"/>
        </w:rPr>
        <w:t>92 job family for academics so any suggestions should begin with grade 7 (Lecturer)</w:t>
      </w:r>
      <w:r w:rsidR="004307C1">
        <w:rPr>
          <w:rFonts w:ascii="Arial" w:hAnsi="Arial" w:cs="Arial"/>
        </w:rPr>
        <w:t>.</w:t>
      </w:r>
    </w:p>
    <w:p w14:paraId="67CBFE96" w14:textId="77777777" w:rsidR="005B0DA7" w:rsidRDefault="005B0DA7" w:rsidP="0000146A">
      <w:pPr>
        <w:rPr>
          <w:rFonts w:ascii="Arial" w:hAnsi="Arial" w:cs="Arial"/>
        </w:rPr>
      </w:pPr>
    </w:p>
    <w:p w14:paraId="57470861" w14:textId="64EDFA3B" w:rsidR="005B0DA7" w:rsidRDefault="00A23F5E" w:rsidP="005B0DA7">
      <w:pPr>
        <w:rPr>
          <w:rFonts w:ascii="Arial" w:hAnsi="Arial" w:cs="Arial"/>
          <w:b/>
          <w:color w:val="000000" w:themeColor="text1"/>
          <w:lang w:eastAsia="en-GB"/>
        </w:rPr>
      </w:pPr>
      <w:r>
        <w:rPr>
          <w:rFonts w:ascii="Arial" w:hAnsi="Arial" w:cs="Arial"/>
          <w:b/>
          <w:noProof/>
          <w:color w:val="000000" w:themeColor="text1"/>
          <w:lang w:eastAsia="en-GB"/>
        </w:rPr>
        <w:drawing>
          <wp:inline distT="0" distB="0" distL="0" distR="0" wp14:anchorId="0F0E8D19" wp14:editId="00DFEFD0">
            <wp:extent cx="562708" cy="43987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und-slice.jpg"/>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592728" cy="463339"/>
                    </a:xfrm>
                    <a:prstGeom prst="rect">
                      <a:avLst/>
                    </a:prstGeom>
                  </pic:spPr>
                </pic:pic>
              </a:graphicData>
            </a:graphic>
          </wp:inline>
        </w:drawing>
      </w:r>
      <w:r w:rsidR="004307C1">
        <w:rPr>
          <w:rFonts w:ascii="Arial" w:hAnsi="Arial" w:cs="Arial"/>
          <w:b/>
          <w:color w:val="000000" w:themeColor="text1"/>
          <w:lang w:eastAsia="en-GB"/>
        </w:rPr>
        <w:t>STUDENT FEE INCOME</w:t>
      </w:r>
    </w:p>
    <w:p w14:paraId="2339F152" w14:textId="77777777" w:rsidR="00BA2E43" w:rsidRDefault="005B0DA7" w:rsidP="005B0DA7">
      <w:pPr>
        <w:rPr>
          <w:rFonts w:ascii="Arial" w:hAnsi="Arial" w:cs="Arial"/>
          <w:color w:val="000000" w:themeColor="text1"/>
          <w:lang w:eastAsia="en-GB"/>
        </w:rPr>
      </w:pPr>
      <w:r>
        <w:rPr>
          <w:rFonts w:ascii="Arial" w:hAnsi="Arial" w:cs="Arial"/>
          <w:color w:val="000000" w:themeColor="text1"/>
          <w:lang w:eastAsia="en-GB"/>
        </w:rPr>
        <w:t xml:space="preserve">UCU has concern that the graphic on the university website is not a true </w:t>
      </w:r>
      <w:r w:rsidR="00123D96" w:rsidRPr="005B0DA7">
        <w:rPr>
          <w:rFonts w:ascii="Arial" w:hAnsi="Arial" w:cs="Arial"/>
          <w:color w:val="000000" w:themeColor="text1"/>
          <w:lang w:eastAsia="en-GB"/>
        </w:rPr>
        <w:t>representation</w:t>
      </w:r>
      <w:r>
        <w:rPr>
          <w:rFonts w:ascii="Arial" w:hAnsi="Arial" w:cs="Arial"/>
          <w:color w:val="000000" w:themeColor="text1"/>
          <w:lang w:eastAsia="en-GB"/>
        </w:rPr>
        <w:t xml:space="preserve"> of the way student fee income is used.  We have requested the data on which the graphic is</w:t>
      </w:r>
      <w:r w:rsidR="00BA2E43">
        <w:rPr>
          <w:rFonts w:ascii="Arial" w:hAnsi="Arial" w:cs="Arial"/>
          <w:color w:val="000000" w:themeColor="text1"/>
          <w:lang w:eastAsia="en-GB"/>
        </w:rPr>
        <w:t xml:space="preserve"> based. </w:t>
      </w:r>
    </w:p>
    <w:p w14:paraId="69408C0F" w14:textId="77777777" w:rsidR="00BA2E43" w:rsidRDefault="00BA2E43" w:rsidP="005B0DA7">
      <w:pPr>
        <w:rPr>
          <w:rFonts w:ascii="Arial" w:hAnsi="Arial" w:cs="Arial"/>
          <w:color w:val="000000" w:themeColor="text1"/>
          <w:lang w:eastAsia="en-GB"/>
        </w:rPr>
      </w:pPr>
    </w:p>
    <w:p w14:paraId="725DB000" w14:textId="77777777" w:rsidR="00BA2E43" w:rsidRDefault="00BA2E43" w:rsidP="005B0DA7">
      <w:pPr>
        <w:rPr>
          <w:rFonts w:ascii="Arial" w:hAnsi="Arial" w:cs="Arial"/>
          <w:color w:val="000000" w:themeColor="text1"/>
          <w:lang w:eastAsia="en-GB"/>
        </w:rPr>
      </w:pPr>
      <w:r>
        <w:rPr>
          <w:rFonts w:ascii="Arial" w:hAnsi="Arial" w:cs="Arial"/>
          <w:color w:val="000000" w:themeColor="text1"/>
          <w:lang w:eastAsia="en-GB"/>
        </w:rPr>
        <w:t xml:space="preserve">More generally our concerns are about the scale of top slicing to support central services.  The latest financial figures revealed that the university is spending about 30M on academic schools but 40M on central services. </w:t>
      </w:r>
      <w:r w:rsidRPr="007D6F7A">
        <w:rPr>
          <w:rFonts w:ascii="Arial" w:hAnsi="Arial" w:cs="Arial"/>
          <w:color w:val="000000" w:themeColor="text1"/>
          <w:lang w:eastAsia="en-GB"/>
        </w:rPr>
        <w:t>This is set in the context of data that shows UoG is spending less on academic salaries than either the national picture or our benchmark group.</w:t>
      </w:r>
    </w:p>
    <w:p w14:paraId="768CAD25" w14:textId="77777777" w:rsidR="007D6F7A" w:rsidRDefault="007D6F7A" w:rsidP="005B0DA7">
      <w:pPr>
        <w:rPr>
          <w:rFonts w:ascii="Arial" w:hAnsi="Arial" w:cs="Arial"/>
          <w:color w:val="000000" w:themeColor="text1"/>
          <w:lang w:eastAsia="en-GB"/>
        </w:rPr>
      </w:pPr>
    </w:p>
    <w:p w14:paraId="0DDB5510" w14:textId="5043F9A2" w:rsidR="007D6F7A" w:rsidRDefault="007D6F7A" w:rsidP="005B0DA7">
      <w:pPr>
        <w:rPr>
          <w:rFonts w:ascii="Arial" w:hAnsi="Arial" w:cs="Arial"/>
          <w:color w:val="000000" w:themeColor="text1"/>
          <w:lang w:eastAsia="en-GB"/>
        </w:rPr>
      </w:pPr>
      <w:r>
        <w:rPr>
          <w:rFonts w:ascii="Arial" w:hAnsi="Arial" w:cs="Arial"/>
          <w:color w:val="000000" w:themeColor="text1"/>
          <w:lang w:eastAsia="en-GB"/>
        </w:rPr>
        <w:t xml:space="preserve">UCU and UNISON have been invited to a presentation on the trends in the universities finances on </w:t>
      </w:r>
      <w:r w:rsidR="0012452B">
        <w:rPr>
          <w:rFonts w:ascii="Arial" w:hAnsi="Arial" w:cs="Arial"/>
          <w:color w:val="000000" w:themeColor="text1"/>
          <w:lang w:eastAsia="en-GB"/>
        </w:rPr>
        <w:t>8 Mar.</w:t>
      </w:r>
    </w:p>
    <w:p w14:paraId="160E3765" w14:textId="77777777" w:rsidR="0012452B" w:rsidRDefault="0012452B" w:rsidP="005B0DA7">
      <w:pPr>
        <w:rPr>
          <w:rFonts w:ascii="Arial" w:hAnsi="Arial" w:cs="Arial"/>
          <w:color w:val="000000" w:themeColor="text1"/>
          <w:lang w:eastAsia="en-GB"/>
        </w:rPr>
      </w:pPr>
    </w:p>
    <w:p w14:paraId="3A6FD211" w14:textId="4EE2C362" w:rsidR="0012452B" w:rsidRDefault="0012452B" w:rsidP="005B0DA7">
      <w:pPr>
        <w:rPr>
          <w:rFonts w:ascii="Arial" w:hAnsi="Arial" w:cs="Arial"/>
          <w:b/>
          <w:color w:val="000000" w:themeColor="text1"/>
          <w:lang w:eastAsia="en-GB"/>
        </w:rPr>
      </w:pPr>
      <w:r w:rsidRPr="0012452B">
        <w:rPr>
          <w:rFonts w:ascii="Arial" w:hAnsi="Arial" w:cs="Arial"/>
          <w:b/>
          <w:color w:val="000000" w:themeColor="text1"/>
          <w:lang w:eastAsia="en-GB"/>
        </w:rPr>
        <w:t xml:space="preserve">UCU </w:t>
      </w:r>
      <w:r w:rsidR="004307C1">
        <w:rPr>
          <w:rFonts w:ascii="Arial" w:hAnsi="Arial" w:cs="Arial"/>
          <w:b/>
          <w:color w:val="000000" w:themeColor="text1"/>
          <w:lang w:eastAsia="en-GB"/>
        </w:rPr>
        <w:t>MEETINGS WITH STAFF</w:t>
      </w:r>
    </w:p>
    <w:p w14:paraId="566E7D53" w14:textId="77777777" w:rsidR="0012452B" w:rsidRDefault="0012452B" w:rsidP="005B0DA7">
      <w:pPr>
        <w:rPr>
          <w:rFonts w:ascii="Arial" w:hAnsi="Arial" w:cs="Arial"/>
          <w:b/>
          <w:color w:val="000000" w:themeColor="text1"/>
          <w:lang w:eastAsia="en-GB"/>
        </w:rPr>
      </w:pPr>
    </w:p>
    <w:p w14:paraId="67CAABF2" w14:textId="0199B5CB" w:rsidR="0012452B" w:rsidRDefault="0012452B" w:rsidP="005B0DA7">
      <w:pPr>
        <w:rPr>
          <w:rFonts w:ascii="Arial" w:hAnsi="Arial" w:cs="Arial"/>
          <w:color w:val="000000" w:themeColor="text1"/>
          <w:lang w:eastAsia="en-GB"/>
        </w:rPr>
      </w:pPr>
      <w:r>
        <w:rPr>
          <w:rFonts w:ascii="Arial" w:hAnsi="Arial" w:cs="Arial"/>
          <w:color w:val="000000" w:themeColor="text1"/>
          <w:lang w:eastAsia="en-GB"/>
        </w:rPr>
        <w:t xml:space="preserve">Please note these dates for you to meet with some members of the committee either before or after </w:t>
      </w:r>
      <w:r w:rsidR="004307C1">
        <w:rPr>
          <w:rFonts w:ascii="Arial" w:hAnsi="Arial" w:cs="Arial"/>
          <w:color w:val="000000" w:themeColor="text1"/>
          <w:lang w:eastAsia="en-GB"/>
        </w:rPr>
        <w:t xml:space="preserve">some of </w:t>
      </w:r>
      <w:r w:rsidR="00BF5EE0">
        <w:rPr>
          <w:rFonts w:ascii="Arial" w:hAnsi="Arial" w:cs="Arial"/>
          <w:color w:val="000000" w:themeColor="text1"/>
          <w:lang w:eastAsia="en-GB"/>
        </w:rPr>
        <w:t xml:space="preserve">our regular </w:t>
      </w:r>
      <w:r>
        <w:rPr>
          <w:rFonts w:ascii="Arial" w:hAnsi="Arial" w:cs="Arial"/>
          <w:color w:val="000000" w:themeColor="text1"/>
          <w:lang w:eastAsia="en-GB"/>
        </w:rPr>
        <w:t>committee meetings.</w:t>
      </w:r>
    </w:p>
    <w:p w14:paraId="247FF3DB" w14:textId="77777777" w:rsidR="0012452B" w:rsidRDefault="0012452B" w:rsidP="005B0DA7">
      <w:pPr>
        <w:rPr>
          <w:rFonts w:ascii="Arial" w:hAnsi="Arial" w:cs="Arial"/>
          <w:color w:val="000000" w:themeColor="text1"/>
          <w:lang w:eastAsia="en-GB"/>
        </w:rPr>
      </w:pPr>
    </w:p>
    <w:tbl>
      <w:tblPr>
        <w:tblStyle w:val="TableGrid"/>
        <w:tblW w:w="0" w:type="auto"/>
        <w:tblLook w:val="04A0" w:firstRow="1" w:lastRow="0" w:firstColumn="1" w:lastColumn="0" w:noHBand="0" w:noVBand="1"/>
      </w:tblPr>
      <w:tblGrid>
        <w:gridCol w:w="988"/>
        <w:gridCol w:w="1134"/>
        <w:gridCol w:w="1984"/>
        <w:gridCol w:w="2126"/>
      </w:tblGrid>
      <w:tr w:rsidR="0012452B" w14:paraId="708AF8BC" w14:textId="77777777" w:rsidTr="00AD1F84">
        <w:tc>
          <w:tcPr>
            <w:tcW w:w="988" w:type="dxa"/>
          </w:tcPr>
          <w:p w14:paraId="6C995692" w14:textId="00B7DBF1" w:rsidR="0012452B" w:rsidRDefault="0012452B" w:rsidP="005B0DA7">
            <w:pPr>
              <w:rPr>
                <w:rFonts w:ascii="Arial" w:hAnsi="Arial" w:cs="Arial"/>
                <w:color w:val="000000" w:themeColor="text1"/>
                <w:lang w:eastAsia="en-GB"/>
              </w:rPr>
            </w:pPr>
            <w:r>
              <w:rPr>
                <w:rFonts w:ascii="Arial" w:hAnsi="Arial" w:cs="Arial"/>
                <w:color w:val="000000" w:themeColor="text1"/>
                <w:lang w:eastAsia="en-GB"/>
              </w:rPr>
              <w:t>Day</w:t>
            </w:r>
          </w:p>
        </w:tc>
        <w:tc>
          <w:tcPr>
            <w:tcW w:w="1134" w:type="dxa"/>
          </w:tcPr>
          <w:p w14:paraId="519B1846" w14:textId="48D08921" w:rsidR="0012452B" w:rsidRDefault="0012452B" w:rsidP="005B0DA7">
            <w:pPr>
              <w:rPr>
                <w:rFonts w:ascii="Arial" w:hAnsi="Arial" w:cs="Arial"/>
                <w:color w:val="000000" w:themeColor="text1"/>
                <w:lang w:eastAsia="en-GB"/>
              </w:rPr>
            </w:pPr>
            <w:r>
              <w:rPr>
                <w:rFonts w:ascii="Arial" w:hAnsi="Arial" w:cs="Arial"/>
                <w:color w:val="000000" w:themeColor="text1"/>
                <w:lang w:eastAsia="en-GB"/>
              </w:rPr>
              <w:t>Date</w:t>
            </w:r>
          </w:p>
        </w:tc>
        <w:tc>
          <w:tcPr>
            <w:tcW w:w="1984" w:type="dxa"/>
          </w:tcPr>
          <w:p w14:paraId="45FF0B5F" w14:textId="520757DE" w:rsidR="0012452B" w:rsidRDefault="00BF5EE0" w:rsidP="005B0DA7">
            <w:pPr>
              <w:rPr>
                <w:rFonts w:ascii="Arial" w:hAnsi="Arial" w:cs="Arial"/>
                <w:color w:val="000000" w:themeColor="text1"/>
                <w:lang w:eastAsia="en-GB"/>
              </w:rPr>
            </w:pPr>
            <w:r>
              <w:rPr>
                <w:rFonts w:ascii="Arial" w:hAnsi="Arial" w:cs="Arial"/>
                <w:color w:val="000000" w:themeColor="text1"/>
                <w:lang w:eastAsia="en-GB"/>
              </w:rPr>
              <w:t>Open Meeting</w:t>
            </w:r>
            <w:r w:rsidR="00D20542">
              <w:rPr>
                <w:rFonts w:ascii="Arial" w:hAnsi="Arial" w:cs="Arial"/>
                <w:color w:val="000000" w:themeColor="text1"/>
                <w:lang w:eastAsia="en-GB"/>
              </w:rPr>
              <w:t>s</w:t>
            </w:r>
          </w:p>
        </w:tc>
        <w:tc>
          <w:tcPr>
            <w:tcW w:w="2126" w:type="dxa"/>
          </w:tcPr>
          <w:p w14:paraId="64642276" w14:textId="691C87FE" w:rsidR="0012452B" w:rsidRDefault="00BF5EE0" w:rsidP="005B0DA7">
            <w:pPr>
              <w:rPr>
                <w:rFonts w:ascii="Arial" w:hAnsi="Arial" w:cs="Arial"/>
                <w:color w:val="000000" w:themeColor="text1"/>
                <w:lang w:eastAsia="en-GB"/>
              </w:rPr>
            </w:pPr>
            <w:r>
              <w:rPr>
                <w:rFonts w:ascii="Arial" w:hAnsi="Arial" w:cs="Arial"/>
                <w:color w:val="000000" w:themeColor="text1"/>
                <w:lang w:eastAsia="en-GB"/>
              </w:rPr>
              <w:t>Location</w:t>
            </w:r>
          </w:p>
        </w:tc>
      </w:tr>
      <w:tr w:rsidR="0012452B" w14:paraId="3DE39911" w14:textId="77777777" w:rsidTr="00AD1F84">
        <w:tc>
          <w:tcPr>
            <w:tcW w:w="988" w:type="dxa"/>
          </w:tcPr>
          <w:p w14:paraId="1E752568" w14:textId="312C6ED7" w:rsidR="0012452B" w:rsidRDefault="0012452B" w:rsidP="005B0DA7">
            <w:pPr>
              <w:rPr>
                <w:rFonts w:ascii="Arial" w:hAnsi="Arial" w:cs="Arial"/>
                <w:color w:val="000000" w:themeColor="text1"/>
                <w:lang w:eastAsia="en-GB"/>
              </w:rPr>
            </w:pPr>
            <w:r>
              <w:rPr>
                <w:rFonts w:ascii="Arial" w:hAnsi="Arial" w:cs="Arial"/>
                <w:color w:val="000000" w:themeColor="text1"/>
                <w:lang w:eastAsia="en-GB"/>
              </w:rPr>
              <w:t>Tue</w:t>
            </w:r>
          </w:p>
        </w:tc>
        <w:tc>
          <w:tcPr>
            <w:tcW w:w="1134" w:type="dxa"/>
          </w:tcPr>
          <w:p w14:paraId="0F28C9D8" w14:textId="10A4F42B" w:rsidR="0012452B" w:rsidRDefault="0012452B" w:rsidP="005B0DA7">
            <w:pPr>
              <w:rPr>
                <w:rFonts w:ascii="Arial" w:hAnsi="Arial" w:cs="Arial"/>
                <w:color w:val="000000" w:themeColor="text1"/>
                <w:lang w:eastAsia="en-GB"/>
              </w:rPr>
            </w:pPr>
            <w:r>
              <w:rPr>
                <w:rFonts w:ascii="Arial" w:hAnsi="Arial" w:cs="Arial"/>
                <w:color w:val="000000" w:themeColor="text1"/>
                <w:lang w:eastAsia="en-GB"/>
              </w:rPr>
              <w:t xml:space="preserve">27 Feb </w:t>
            </w:r>
          </w:p>
        </w:tc>
        <w:tc>
          <w:tcPr>
            <w:tcW w:w="1984" w:type="dxa"/>
          </w:tcPr>
          <w:p w14:paraId="2AD42CC0" w14:textId="2C5DD837" w:rsidR="0012452B" w:rsidRDefault="00A51A4F" w:rsidP="005B0DA7">
            <w:pPr>
              <w:rPr>
                <w:rFonts w:ascii="Arial" w:hAnsi="Arial" w:cs="Arial"/>
                <w:color w:val="000000" w:themeColor="text1"/>
                <w:lang w:eastAsia="en-GB"/>
              </w:rPr>
            </w:pPr>
            <w:r>
              <w:rPr>
                <w:rFonts w:ascii="Arial" w:hAnsi="Arial" w:cs="Arial"/>
                <w:color w:val="000000" w:themeColor="text1"/>
                <w:lang w:eastAsia="en-GB"/>
              </w:rPr>
              <w:t>14.30 – 15.30</w:t>
            </w:r>
          </w:p>
        </w:tc>
        <w:tc>
          <w:tcPr>
            <w:tcW w:w="2126" w:type="dxa"/>
          </w:tcPr>
          <w:p w14:paraId="28C58DF4" w14:textId="3C84A712" w:rsidR="0012452B" w:rsidRDefault="00E54B74" w:rsidP="005B0DA7">
            <w:pPr>
              <w:rPr>
                <w:rFonts w:ascii="Arial" w:hAnsi="Arial" w:cs="Arial"/>
                <w:color w:val="000000" w:themeColor="text1"/>
                <w:lang w:eastAsia="en-GB"/>
              </w:rPr>
            </w:pPr>
            <w:r>
              <w:rPr>
                <w:rFonts w:ascii="Arial" w:hAnsi="Arial" w:cs="Arial"/>
                <w:color w:val="000000" w:themeColor="text1"/>
                <w:lang w:eastAsia="en-GB"/>
              </w:rPr>
              <w:t>FCH</w:t>
            </w:r>
            <w:r w:rsidR="00A51A4F">
              <w:rPr>
                <w:rFonts w:ascii="Arial" w:hAnsi="Arial" w:cs="Arial"/>
                <w:color w:val="000000" w:themeColor="text1"/>
                <w:lang w:eastAsia="en-GB"/>
              </w:rPr>
              <w:t xml:space="preserve">       HC205     </w:t>
            </w:r>
          </w:p>
        </w:tc>
      </w:tr>
      <w:tr w:rsidR="0012452B" w14:paraId="036A8597" w14:textId="77777777" w:rsidTr="00AD1F84">
        <w:tc>
          <w:tcPr>
            <w:tcW w:w="988" w:type="dxa"/>
          </w:tcPr>
          <w:p w14:paraId="38CB03AE" w14:textId="26B2E337" w:rsidR="0012452B" w:rsidRDefault="000557DF" w:rsidP="005B0DA7">
            <w:pPr>
              <w:rPr>
                <w:rFonts w:ascii="Arial" w:hAnsi="Arial" w:cs="Arial"/>
                <w:color w:val="000000" w:themeColor="text1"/>
                <w:lang w:eastAsia="en-GB"/>
              </w:rPr>
            </w:pPr>
            <w:r>
              <w:rPr>
                <w:rFonts w:ascii="Arial" w:hAnsi="Arial" w:cs="Arial"/>
                <w:color w:val="000000" w:themeColor="text1"/>
                <w:lang w:eastAsia="en-GB"/>
              </w:rPr>
              <w:t xml:space="preserve">Wed </w:t>
            </w:r>
          </w:p>
        </w:tc>
        <w:tc>
          <w:tcPr>
            <w:tcW w:w="1134" w:type="dxa"/>
          </w:tcPr>
          <w:p w14:paraId="5F58F763" w14:textId="37C36948" w:rsidR="0012452B" w:rsidRDefault="000557DF" w:rsidP="005B0DA7">
            <w:pPr>
              <w:rPr>
                <w:rFonts w:ascii="Arial" w:hAnsi="Arial" w:cs="Arial"/>
                <w:color w:val="000000" w:themeColor="text1"/>
                <w:lang w:eastAsia="en-GB"/>
              </w:rPr>
            </w:pPr>
            <w:r>
              <w:rPr>
                <w:rFonts w:ascii="Arial" w:hAnsi="Arial" w:cs="Arial"/>
                <w:color w:val="000000" w:themeColor="text1"/>
                <w:lang w:eastAsia="en-GB"/>
              </w:rPr>
              <w:t>18 Apr</w:t>
            </w:r>
          </w:p>
        </w:tc>
        <w:tc>
          <w:tcPr>
            <w:tcW w:w="1984" w:type="dxa"/>
          </w:tcPr>
          <w:p w14:paraId="73176E3F" w14:textId="3B696713" w:rsidR="0012452B" w:rsidRDefault="00E54B74" w:rsidP="005B0DA7">
            <w:pPr>
              <w:rPr>
                <w:rFonts w:ascii="Arial" w:hAnsi="Arial" w:cs="Arial"/>
                <w:color w:val="000000" w:themeColor="text1"/>
                <w:lang w:eastAsia="en-GB"/>
              </w:rPr>
            </w:pPr>
            <w:r>
              <w:rPr>
                <w:rFonts w:ascii="Arial" w:hAnsi="Arial" w:cs="Arial"/>
                <w:color w:val="000000" w:themeColor="text1"/>
                <w:lang w:eastAsia="en-GB"/>
              </w:rPr>
              <w:t>14.15 – 15.15</w:t>
            </w:r>
          </w:p>
        </w:tc>
        <w:tc>
          <w:tcPr>
            <w:tcW w:w="2126" w:type="dxa"/>
          </w:tcPr>
          <w:p w14:paraId="64ED6C8F" w14:textId="4E77260B" w:rsidR="0012452B" w:rsidRDefault="00D20542" w:rsidP="005B0DA7">
            <w:pPr>
              <w:rPr>
                <w:rFonts w:ascii="Arial" w:hAnsi="Arial" w:cs="Arial"/>
                <w:color w:val="000000" w:themeColor="text1"/>
                <w:lang w:eastAsia="en-GB"/>
              </w:rPr>
            </w:pPr>
            <w:r>
              <w:rPr>
                <w:rFonts w:ascii="Arial" w:hAnsi="Arial" w:cs="Arial"/>
                <w:color w:val="000000" w:themeColor="text1"/>
                <w:lang w:eastAsia="en-GB"/>
              </w:rPr>
              <w:t>Park</w:t>
            </w:r>
            <w:r w:rsidR="00A51A4F">
              <w:rPr>
                <w:rFonts w:ascii="Arial" w:hAnsi="Arial" w:cs="Arial"/>
                <w:color w:val="000000" w:themeColor="text1"/>
                <w:lang w:eastAsia="en-GB"/>
              </w:rPr>
              <w:t xml:space="preserve">       FW015A</w:t>
            </w:r>
          </w:p>
        </w:tc>
      </w:tr>
      <w:tr w:rsidR="000557DF" w14:paraId="73CB8663" w14:textId="77777777" w:rsidTr="00AD1F84">
        <w:tc>
          <w:tcPr>
            <w:tcW w:w="988" w:type="dxa"/>
          </w:tcPr>
          <w:p w14:paraId="16A2ED18" w14:textId="653086FB" w:rsidR="000557DF" w:rsidRDefault="00636BDE" w:rsidP="005B0DA7">
            <w:pPr>
              <w:rPr>
                <w:rFonts w:ascii="Arial" w:hAnsi="Arial" w:cs="Arial"/>
                <w:color w:val="000000" w:themeColor="text1"/>
                <w:lang w:eastAsia="en-GB"/>
              </w:rPr>
            </w:pPr>
            <w:r>
              <w:rPr>
                <w:rFonts w:ascii="Arial" w:hAnsi="Arial" w:cs="Arial"/>
                <w:color w:val="000000" w:themeColor="text1"/>
                <w:lang w:eastAsia="en-GB"/>
              </w:rPr>
              <w:t xml:space="preserve">Wed </w:t>
            </w:r>
          </w:p>
        </w:tc>
        <w:tc>
          <w:tcPr>
            <w:tcW w:w="1134" w:type="dxa"/>
          </w:tcPr>
          <w:p w14:paraId="036E6580" w14:textId="11B738A8" w:rsidR="000557DF" w:rsidRDefault="00636BDE" w:rsidP="005B0DA7">
            <w:pPr>
              <w:rPr>
                <w:rFonts w:ascii="Arial" w:hAnsi="Arial" w:cs="Arial"/>
                <w:color w:val="000000" w:themeColor="text1"/>
                <w:lang w:eastAsia="en-GB"/>
              </w:rPr>
            </w:pPr>
            <w:r>
              <w:rPr>
                <w:rFonts w:ascii="Arial" w:hAnsi="Arial" w:cs="Arial"/>
                <w:color w:val="000000" w:themeColor="text1"/>
                <w:lang w:eastAsia="en-GB"/>
              </w:rPr>
              <w:t>20 Jun</w:t>
            </w:r>
          </w:p>
        </w:tc>
        <w:tc>
          <w:tcPr>
            <w:tcW w:w="1984" w:type="dxa"/>
          </w:tcPr>
          <w:p w14:paraId="3D388052" w14:textId="2CE1E1EC" w:rsidR="000557DF" w:rsidRDefault="00E54B74" w:rsidP="005B0DA7">
            <w:pPr>
              <w:rPr>
                <w:rFonts w:ascii="Arial" w:hAnsi="Arial" w:cs="Arial"/>
                <w:color w:val="000000" w:themeColor="text1"/>
                <w:lang w:eastAsia="en-GB"/>
              </w:rPr>
            </w:pPr>
            <w:r>
              <w:rPr>
                <w:rFonts w:ascii="Arial" w:hAnsi="Arial" w:cs="Arial"/>
                <w:color w:val="000000" w:themeColor="text1"/>
                <w:lang w:eastAsia="en-GB"/>
              </w:rPr>
              <w:t>14.15 – 15.15</w:t>
            </w:r>
          </w:p>
        </w:tc>
        <w:tc>
          <w:tcPr>
            <w:tcW w:w="2126" w:type="dxa"/>
          </w:tcPr>
          <w:p w14:paraId="3B9F92B2" w14:textId="21CC7A83" w:rsidR="000557DF" w:rsidRDefault="00D20542" w:rsidP="005B0DA7">
            <w:pPr>
              <w:rPr>
                <w:rFonts w:ascii="Arial" w:hAnsi="Arial" w:cs="Arial"/>
                <w:color w:val="000000" w:themeColor="text1"/>
                <w:lang w:eastAsia="en-GB"/>
              </w:rPr>
            </w:pPr>
            <w:r>
              <w:rPr>
                <w:rFonts w:ascii="Arial" w:hAnsi="Arial" w:cs="Arial"/>
                <w:color w:val="000000" w:themeColor="text1"/>
                <w:lang w:eastAsia="en-GB"/>
              </w:rPr>
              <w:t>Oxstalls</w:t>
            </w:r>
            <w:r w:rsidR="00A51A4F">
              <w:rPr>
                <w:rFonts w:ascii="Arial" w:hAnsi="Arial" w:cs="Arial"/>
                <w:color w:val="000000" w:themeColor="text1"/>
                <w:lang w:eastAsia="en-GB"/>
              </w:rPr>
              <w:t xml:space="preserve">  TC201</w:t>
            </w:r>
          </w:p>
        </w:tc>
      </w:tr>
    </w:tbl>
    <w:p w14:paraId="2F125641" w14:textId="59477F9B" w:rsidR="00966F86" w:rsidRDefault="00966F86" w:rsidP="005B0DA7">
      <w:pPr>
        <w:rPr>
          <w:rFonts w:ascii="Arial" w:hAnsi="Arial" w:cs="Arial"/>
          <w:color w:val="000000" w:themeColor="text1"/>
          <w:lang w:eastAsia="en-GB"/>
        </w:rPr>
      </w:pPr>
    </w:p>
    <w:p w14:paraId="7BA2023A" w14:textId="26F74131" w:rsidR="00BE246C" w:rsidRDefault="00BE246C" w:rsidP="00D20542">
      <w:pPr>
        <w:rPr>
          <w:rFonts w:ascii="Arial" w:hAnsi="Arial" w:cs="Arial"/>
          <w:color w:val="000000" w:themeColor="text1"/>
        </w:rPr>
      </w:pPr>
    </w:p>
    <w:p w14:paraId="409594B2" w14:textId="45764D47" w:rsidR="00A23F5E" w:rsidRPr="00BE246C" w:rsidRDefault="00A23F5E" w:rsidP="00D20542">
      <w:pPr>
        <w:rPr>
          <w:rFonts w:ascii="Arial" w:hAnsi="Arial" w:cs="Arial"/>
          <w:color w:val="000000" w:themeColor="text1"/>
        </w:rPr>
      </w:pPr>
      <w:r>
        <w:rPr>
          <w:rFonts w:ascii="Arial" w:hAnsi="Arial" w:cs="Arial"/>
          <w:color w:val="000000" w:themeColor="text1"/>
        </w:rPr>
        <w:t>UCU Committee</w:t>
      </w:r>
    </w:p>
    <w:sectPr w:rsidR="00A23F5E" w:rsidRPr="00BE246C" w:rsidSect="000273F8">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83E4E" w14:textId="77777777" w:rsidR="00390947" w:rsidRDefault="00390947" w:rsidP="008B458A">
      <w:r>
        <w:separator/>
      </w:r>
    </w:p>
  </w:endnote>
  <w:endnote w:type="continuationSeparator" w:id="0">
    <w:p w14:paraId="214FCAD0" w14:textId="77777777" w:rsidR="00390947" w:rsidRDefault="00390947" w:rsidP="008B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F1D0D" w14:textId="77777777" w:rsidR="00390947" w:rsidRDefault="00390947" w:rsidP="008B458A">
      <w:r>
        <w:separator/>
      </w:r>
    </w:p>
  </w:footnote>
  <w:footnote w:type="continuationSeparator" w:id="0">
    <w:p w14:paraId="42F98B53" w14:textId="77777777" w:rsidR="00390947" w:rsidRDefault="00390947" w:rsidP="008B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BFFA" w14:textId="77777777" w:rsidR="008B458A" w:rsidRPr="008B458A" w:rsidRDefault="008B458A" w:rsidP="008B458A">
    <w:pPr>
      <w:rPr>
        <w:rFonts w:ascii="Times New Roman" w:eastAsia="Times New Roman" w:hAnsi="Times New Roman" w:cs="Times New Roman"/>
        <w:lang w:eastAsia="en-GB"/>
      </w:rPr>
    </w:pPr>
    <w:r w:rsidRPr="008B458A">
      <w:rPr>
        <w:rFonts w:ascii="Times New Roman" w:eastAsia="Times New Roman" w:hAnsi="Times New Roman" w:cs="Times New Roman"/>
        <w:noProof/>
        <w:lang w:eastAsia="en-GB"/>
      </w:rPr>
      <w:drawing>
        <wp:inline distT="0" distB="0" distL="0" distR="0" wp14:anchorId="75916BAF" wp14:editId="66DD1F38">
          <wp:extent cx="2456180" cy="866775"/>
          <wp:effectExtent l="0" t="0" r="7620" b="0"/>
          <wp:docPr id="1" name="Picture 1" descr="ink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k to 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866775"/>
                  </a:xfrm>
                  <a:prstGeom prst="rect">
                    <a:avLst/>
                  </a:prstGeom>
                  <a:noFill/>
                  <a:ln>
                    <a:noFill/>
                  </a:ln>
                </pic:spPr>
              </pic:pic>
            </a:graphicData>
          </a:graphic>
        </wp:inline>
      </w:drawing>
    </w:r>
  </w:p>
  <w:p w14:paraId="782CAA11" w14:textId="77777777" w:rsidR="008B458A" w:rsidRDefault="008B4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A096D"/>
    <w:multiLevelType w:val="multilevel"/>
    <w:tmpl w:val="7632E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F94B53"/>
    <w:multiLevelType w:val="hybridMultilevel"/>
    <w:tmpl w:val="7632EA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E9"/>
    <w:rsid w:val="0000146A"/>
    <w:rsid w:val="000273F8"/>
    <w:rsid w:val="000420BC"/>
    <w:rsid w:val="000557DF"/>
    <w:rsid w:val="00091F0F"/>
    <w:rsid w:val="000D40DE"/>
    <w:rsid w:val="00123D96"/>
    <w:rsid w:val="0012452B"/>
    <w:rsid w:val="00226634"/>
    <w:rsid w:val="00227CE2"/>
    <w:rsid w:val="00390947"/>
    <w:rsid w:val="003E2A39"/>
    <w:rsid w:val="003F5C81"/>
    <w:rsid w:val="004307C1"/>
    <w:rsid w:val="004317D4"/>
    <w:rsid w:val="0047634B"/>
    <w:rsid w:val="004B38CF"/>
    <w:rsid w:val="004F39E7"/>
    <w:rsid w:val="0054165E"/>
    <w:rsid w:val="00574BDA"/>
    <w:rsid w:val="005B0DA7"/>
    <w:rsid w:val="00636BDE"/>
    <w:rsid w:val="0064019E"/>
    <w:rsid w:val="006A2609"/>
    <w:rsid w:val="006A74DA"/>
    <w:rsid w:val="006D6137"/>
    <w:rsid w:val="007D6F7A"/>
    <w:rsid w:val="007E217F"/>
    <w:rsid w:val="00805B14"/>
    <w:rsid w:val="008B458A"/>
    <w:rsid w:val="00966F86"/>
    <w:rsid w:val="00994137"/>
    <w:rsid w:val="00A23F5E"/>
    <w:rsid w:val="00A51A4F"/>
    <w:rsid w:val="00AC020C"/>
    <w:rsid w:val="00AD1F84"/>
    <w:rsid w:val="00AF1C43"/>
    <w:rsid w:val="00B16B46"/>
    <w:rsid w:val="00B23AFE"/>
    <w:rsid w:val="00BA2E43"/>
    <w:rsid w:val="00BD0BAA"/>
    <w:rsid w:val="00BE246C"/>
    <w:rsid w:val="00BF5EE0"/>
    <w:rsid w:val="00CA402E"/>
    <w:rsid w:val="00CC5922"/>
    <w:rsid w:val="00D133BB"/>
    <w:rsid w:val="00D20542"/>
    <w:rsid w:val="00DC5BBB"/>
    <w:rsid w:val="00E54B74"/>
    <w:rsid w:val="00E749A4"/>
    <w:rsid w:val="00E86D3E"/>
    <w:rsid w:val="00EF376F"/>
    <w:rsid w:val="00F26D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B5E97"/>
  <w14:defaultImageDpi w14:val="32767"/>
  <w15:docId w15:val="{36012EF6-00E5-434C-9FDD-C511B307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58A"/>
    <w:pPr>
      <w:tabs>
        <w:tab w:val="center" w:pos="4513"/>
        <w:tab w:val="right" w:pos="9026"/>
      </w:tabs>
    </w:pPr>
  </w:style>
  <w:style w:type="character" w:customStyle="1" w:styleId="HeaderChar">
    <w:name w:val="Header Char"/>
    <w:basedOn w:val="DefaultParagraphFont"/>
    <w:link w:val="Header"/>
    <w:uiPriority w:val="99"/>
    <w:rsid w:val="008B458A"/>
  </w:style>
  <w:style w:type="paragraph" w:styleId="Footer">
    <w:name w:val="footer"/>
    <w:basedOn w:val="Normal"/>
    <w:link w:val="FooterChar"/>
    <w:uiPriority w:val="99"/>
    <w:unhideWhenUsed/>
    <w:rsid w:val="008B458A"/>
    <w:pPr>
      <w:tabs>
        <w:tab w:val="center" w:pos="4513"/>
        <w:tab w:val="right" w:pos="9026"/>
      </w:tabs>
    </w:pPr>
  </w:style>
  <w:style w:type="character" w:customStyle="1" w:styleId="FooterChar">
    <w:name w:val="Footer Char"/>
    <w:basedOn w:val="DefaultParagraphFont"/>
    <w:link w:val="Footer"/>
    <w:uiPriority w:val="99"/>
    <w:rsid w:val="008B458A"/>
  </w:style>
  <w:style w:type="paragraph" w:styleId="ListParagraph">
    <w:name w:val="List Paragraph"/>
    <w:basedOn w:val="Normal"/>
    <w:uiPriority w:val="34"/>
    <w:qFormat/>
    <w:rsid w:val="0047634B"/>
    <w:pPr>
      <w:ind w:left="720"/>
      <w:contextualSpacing/>
    </w:pPr>
  </w:style>
  <w:style w:type="character" w:customStyle="1" w:styleId="apple-converted-space">
    <w:name w:val="apple-converted-space"/>
    <w:basedOn w:val="DefaultParagraphFont"/>
    <w:rsid w:val="007E217F"/>
  </w:style>
  <w:style w:type="paragraph" w:styleId="BalloonText">
    <w:name w:val="Balloon Text"/>
    <w:basedOn w:val="Normal"/>
    <w:link w:val="BalloonTextChar"/>
    <w:uiPriority w:val="99"/>
    <w:semiHidden/>
    <w:unhideWhenUsed/>
    <w:rsid w:val="00F26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DE9"/>
    <w:rPr>
      <w:rFonts w:ascii="Lucida Grande" w:hAnsi="Lucida Grande" w:cs="Lucida Grande"/>
      <w:sz w:val="18"/>
      <w:szCs w:val="18"/>
    </w:rPr>
  </w:style>
  <w:style w:type="character" w:styleId="Hyperlink">
    <w:name w:val="Hyperlink"/>
    <w:basedOn w:val="DefaultParagraphFont"/>
    <w:uiPriority w:val="99"/>
    <w:unhideWhenUsed/>
    <w:rsid w:val="00AF1C43"/>
    <w:rPr>
      <w:color w:val="0563C1" w:themeColor="hyperlink"/>
      <w:u w:val="single"/>
    </w:rPr>
  </w:style>
  <w:style w:type="character" w:customStyle="1" w:styleId="UnresolvedMention">
    <w:name w:val="Unresolved Mention"/>
    <w:basedOn w:val="DefaultParagraphFont"/>
    <w:uiPriority w:val="99"/>
    <w:semiHidden/>
    <w:unhideWhenUsed/>
    <w:rsid w:val="00AF1C43"/>
    <w:rPr>
      <w:color w:val="808080"/>
      <w:shd w:val="clear" w:color="auto" w:fill="E6E6E6"/>
    </w:rPr>
  </w:style>
  <w:style w:type="table" w:styleId="TableGrid">
    <w:name w:val="Table Grid"/>
    <w:basedOn w:val="TableNormal"/>
    <w:uiPriority w:val="39"/>
    <w:rsid w:val="0012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70670">
      <w:bodyDiv w:val="1"/>
      <w:marLeft w:val="0"/>
      <w:marRight w:val="0"/>
      <w:marTop w:val="0"/>
      <w:marBottom w:val="0"/>
      <w:divBdr>
        <w:top w:val="none" w:sz="0" w:space="0" w:color="auto"/>
        <w:left w:val="none" w:sz="0" w:space="0" w:color="auto"/>
        <w:bottom w:val="none" w:sz="0" w:space="0" w:color="auto"/>
        <w:right w:val="none" w:sz="0" w:space="0" w:color="auto"/>
      </w:divBdr>
    </w:div>
    <w:div w:id="1103182291">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771512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ac.uk/equality-charters/athena-sw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Misiura</dc:creator>
  <cp:keywords/>
  <dc:description/>
  <cp:lastModifiedBy>s2101400@glos.ac.uk</cp:lastModifiedBy>
  <cp:revision>2</cp:revision>
  <dcterms:created xsi:type="dcterms:W3CDTF">2018-02-20T13:26:00Z</dcterms:created>
  <dcterms:modified xsi:type="dcterms:W3CDTF">2018-02-20T13:26:00Z</dcterms:modified>
</cp:coreProperties>
</file>