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43" w:rsidRDefault="00F72E43" w:rsidP="00824263">
      <w:pPr>
        <w:widowControl w:val="0"/>
        <w:tabs>
          <w:tab w:val="left" w:pos="1800"/>
          <w:tab w:val="left" w:pos="3600"/>
        </w:tabs>
        <w:autoSpaceDE w:val="0"/>
        <w:autoSpaceDN w:val="0"/>
        <w:adjustRightInd w:val="0"/>
        <w:rPr>
          <w:sz w:val="20"/>
          <w:szCs w:val="20"/>
        </w:rPr>
      </w:pPr>
      <w:bookmarkStart w:id="0" w:name="_GoBack"/>
      <w:bookmarkEnd w:id="0"/>
    </w:p>
    <w:p w:rsidR="00F72E43" w:rsidRDefault="00E3271A" w:rsidP="001937F9">
      <w:pPr>
        <w:widowControl w:val="0"/>
        <w:tabs>
          <w:tab w:val="left" w:pos="1800"/>
          <w:tab w:val="left" w:pos="3600"/>
        </w:tabs>
        <w:autoSpaceDE w:val="0"/>
        <w:autoSpaceDN w:val="0"/>
        <w:adjustRightInd w:val="0"/>
        <w:jc w:val="center"/>
        <w:rPr>
          <w:b/>
          <w:sz w:val="28"/>
          <w:szCs w:val="28"/>
        </w:rPr>
      </w:pPr>
      <w:r>
        <w:rPr>
          <w:b/>
          <w:sz w:val="28"/>
          <w:szCs w:val="28"/>
        </w:rPr>
        <w:t>Guideline for Cross Instrument Correlation Studies</w:t>
      </w:r>
    </w:p>
    <w:p w:rsidR="00987553" w:rsidRDefault="00987553" w:rsidP="001937F9">
      <w:pPr>
        <w:widowControl w:val="0"/>
        <w:tabs>
          <w:tab w:val="left" w:pos="1800"/>
          <w:tab w:val="left" w:pos="3600"/>
        </w:tabs>
        <w:autoSpaceDE w:val="0"/>
        <w:autoSpaceDN w:val="0"/>
        <w:adjustRightInd w:val="0"/>
        <w:jc w:val="center"/>
        <w:rPr>
          <w:b/>
          <w:sz w:val="28"/>
          <w:szCs w:val="28"/>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640"/>
        <w:gridCol w:w="2148"/>
      </w:tblGrid>
      <w:tr w:rsidR="00987553" w:rsidRPr="00AB2C14">
        <w:tc>
          <w:tcPr>
            <w:tcW w:w="4068" w:type="dxa"/>
            <w:vMerge w:val="restart"/>
          </w:tcPr>
          <w:p w:rsidR="00987553" w:rsidRPr="004F1F95" w:rsidRDefault="00987553" w:rsidP="00987553">
            <w:pPr>
              <w:rPr>
                <w:szCs w:val="22"/>
              </w:rPr>
            </w:pPr>
            <w:bookmarkStart w:id="1" w:name="OLE_LINK1"/>
            <w:bookmarkStart w:id="2" w:name="_Hlk200772527"/>
            <w:r>
              <w:br w:type="page"/>
            </w:r>
            <w:bookmarkEnd w:id="1"/>
            <w:r w:rsidRPr="004F1F95">
              <w:rPr>
                <w:b/>
                <w:u w:val="single"/>
              </w:rPr>
              <w:t>Author:</w:t>
            </w:r>
            <w:r w:rsidRPr="004F1F95">
              <w:rPr>
                <w:szCs w:val="22"/>
              </w:rPr>
              <w:t xml:space="preserve"> </w:t>
            </w:r>
            <w:r>
              <w:rPr>
                <w:szCs w:val="22"/>
              </w:rPr>
              <w:t>Kurt L. Michael</w:t>
            </w:r>
          </w:p>
        </w:tc>
        <w:tc>
          <w:tcPr>
            <w:tcW w:w="2640" w:type="dxa"/>
          </w:tcPr>
          <w:p w:rsidR="00987553" w:rsidRPr="00134B40" w:rsidRDefault="00987553" w:rsidP="00987553">
            <w:pPr>
              <w:jc w:val="center"/>
            </w:pPr>
            <w:r>
              <w:t xml:space="preserve">Document </w:t>
            </w:r>
            <w:r w:rsidRPr="00134B40">
              <w:t>Number</w:t>
            </w:r>
            <w:r>
              <w:t>:</w:t>
            </w:r>
          </w:p>
        </w:tc>
        <w:tc>
          <w:tcPr>
            <w:tcW w:w="2148" w:type="dxa"/>
          </w:tcPr>
          <w:p w:rsidR="00987553" w:rsidRPr="00AB2C14" w:rsidRDefault="00AB3328" w:rsidP="00987553">
            <w:pPr>
              <w:jc w:val="center"/>
            </w:pPr>
            <w:r>
              <w:t>Equ3</w:t>
            </w:r>
            <w:r w:rsidR="00987553">
              <w:t>0-27</w:t>
            </w:r>
          </w:p>
        </w:tc>
      </w:tr>
      <w:tr w:rsidR="00987553" w:rsidRPr="009B054F">
        <w:tc>
          <w:tcPr>
            <w:tcW w:w="4068" w:type="dxa"/>
            <w:vMerge/>
          </w:tcPr>
          <w:p w:rsidR="00987553" w:rsidRPr="004F1F95" w:rsidRDefault="00987553" w:rsidP="00987553">
            <w:pPr>
              <w:rPr>
                <w:b/>
                <w:u w:val="single"/>
              </w:rPr>
            </w:pPr>
          </w:p>
        </w:tc>
        <w:tc>
          <w:tcPr>
            <w:tcW w:w="2640" w:type="dxa"/>
          </w:tcPr>
          <w:p w:rsidR="00987553" w:rsidRPr="00134B40" w:rsidRDefault="00987553" w:rsidP="00987553">
            <w:pPr>
              <w:jc w:val="center"/>
            </w:pPr>
            <w:r w:rsidRPr="00134B40">
              <w:t>Effective</w:t>
            </w:r>
            <w:r>
              <w:t xml:space="preserve"> (or Post)</w:t>
            </w:r>
            <w:r w:rsidRPr="00134B40">
              <w:t xml:space="preserve"> Date</w:t>
            </w:r>
            <w:r>
              <w:t>:</w:t>
            </w:r>
          </w:p>
        </w:tc>
        <w:tc>
          <w:tcPr>
            <w:tcW w:w="2148" w:type="dxa"/>
          </w:tcPr>
          <w:p w:rsidR="00987553" w:rsidRPr="00E376DD" w:rsidRDefault="00987553" w:rsidP="00987553">
            <w:pPr>
              <w:jc w:val="center"/>
            </w:pPr>
            <w:r>
              <w:t>13August 2008</w:t>
            </w:r>
          </w:p>
        </w:tc>
      </w:tr>
      <w:tr w:rsidR="00987553" w:rsidRPr="00134B40">
        <w:tc>
          <w:tcPr>
            <w:tcW w:w="4068" w:type="dxa"/>
            <w:vMerge w:val="restart"/>
          </w:tcPr>
          <w:p w:rsidR="00987553" w:rsidRDefault="00987553" w:rsidP="00987553">
            <w:r w:rsidRPr="00182D64">
              <w:t>Review History</w:t>
            </w:r>
          </w:p>
          <w:p w:rsidR="00987553" w:rsidRPr="00182D64" w:rsidRDefault="00987553" w:rsidP="00987553"/>
        </w:tc>
        <w:tc>
          <w:tcPr>
            <w:tcW w:w="2640" w:type="dxa"/>
          </w:tcPr>
          <w:p w:rsidR="00987553" w:rsidRPr="00134B40" w:rsidRDefault="00987553" w:rsidP="00987553">
            <w:pPr>
              <w:jc w:val="center"/>
            </w:pPr>
            <w:r>
              <w:t>Date of last review:</w:t>
            </w:r>
          </w:p>
        </w:tc>
        <w:tc>
          <w:tcPr>
            <w:tcW w:w="2148" w:type="dxa"/>
          </w:tcPr>
          <w:p w:rsidR="00987553" w:rsidRPr="00134B40" w:rsidRDefault="00AB3328" w:rsidP="00987553">
            <w:pPr>
              <w:jc w:val="center"/>
            </w:pPr>
            <w:r>
              <w:t>10 Aug 10</w:t>
            </w:r>
          </w:p>
        </w:tc>
      </w:tr>
      <w:tr w:rsidR="00987553" w:rsidRPr="00E376DD">
        <w:tc>
          <w:tcPr>
            <w:tcW w:w="4068" w:type="dxa"/>
            <w:vMerge/>
          </w:tcPr>
          <w:p w:rsidR="00987553" w:rsidRPr="004F1F95" w:rsidRDefault="00987553" w:rsidP="00987553">
            <w:pPr>
              <w:rPr>
                <w:b/>
                <w:u w:val="single"/>
              </w:rPr>
            </w:pPr>
          </w:p>
        </w:tc>
        <w:tc>
          <w:tcPr>
            <w:tcW w:w="2640" w:type="dxa"/>
          </w:tcPr>
          <w:p w:rsidR="00987553" w:rsidRPr="00134B40" w:rsidRDefault="00987553" w:rsidP="00987553">
            <w:pPr>
              <w:jc w:val="center"/>
            </w:pPr>
            <w:r>
              <w:t>Reviewed by:</w:t>
            </w:r>
          </w:p>
        </w:tc>
        <w:tc>
          <w:tcPr>
            <w:tcW w:w="2148" w:type="dxa"/>
          </w:tcPr>
          <w:p w:rsidR="00987553" w:rsidRPr="00E376DD" w:rsidRDefault="00AB3328" w:rsidP="00987553">
            <w:pPr>
              <w:jc w:val="center"/>
            </w:pPr>
            <w:r>
              <w:t>Heidi Hanes</w:t>
            </w:r>
          </w:p>
        </w:tc>
      </w:tr>
      <w:bookmarkEnd w:id="2"/>
    </w:tbl>
    <w:p w:rsidR="00987553" w:rsidRDefault="00987553" w:rsidP="001937F9">
      <w:pPr>
        <w:widowControl w:val="0"/>
        <w:tabs>
          <w:tab w:val="left" w:pos="1800"/>
          <w:tab w:val="left" w:pos="3600"/>
        </w:tabs>
        <w:autoSpaceDE w:val="0"/>
        <w:autoSpaceDN w:val="0"/>
        <w:adjustRightInd w:val="0"/>
        <w:jc w:val="center"/>
        <w:rPr>
          <w:b/>
          <w:sz w:val="28"/>
          <w:szCs w:val="28"/>
        </w:rPr>
      </w:pPr>
    </w:p>
    <w:p w:rsidR="00987553" w:rsidRDefault="00987553" w:rsidP="001937F9">
      <w:pPr>
        <w:widowControl w:val="0"/>
        <w:tabs>
          <w:tab w:val="left" w:pos="1800"/>
          <w:tab w:val="left" w:pos="3600"/>
        </w:tabs>
        <w:autoSpaceDE w:val="0"/>
        <w:autoSpaceDN w:val="0"/>
        <w:adjustRightInd w:val="0"/>
        <w:jc w:val="center"/>
        <w:rPr>
          <w:b/>
          <w:sz w:val="28"/>
          <w:szCs w:val="28"/>
        </w:rPr>
      </w:pPr>
    </w:p>
    <w:p w:rsidR="00F72E43" w:rsidRDefault="00F72E43" w:rsidP="00824263">
      <w:pPr>
        <w:widowControl w:val="0"/>
        <w:tabs>
          <w:tab w:val="left" w:pos="1800"/>
          <w:tab w:val="left" w:pos="3600"/>
        </w:tabs>
        <w:autoSpaceDE w:val="0"/>
        <w:autoSpaceDN w:val="0"/>
        <w:adjustRightInd w:val="0"/>
        <w:rPr>
          <w:sz w:val="20"/>
          <w:szCs w:val="20"/>
        </w:rPr>
      </w:pPr>
    </w:p>
    <w:p w:rsidR="00987553" w:rsidRDefault="00987553" w:rsidP="00E3271A">
      <w:pPr>
        <w:widowControl w:val="0"/>
        <w:tabs>
          <w:tab w:val="left" w:pos="1800"/>
          <w:tab w:val="left" w:pos="3600"/>
        </w:tabs>
        <w:autoSpaceDE w:val="0"/>
        <w:autoSpaceDN w:val="0"/>
        <w:adjustRightInd w:val="0"/>
        <w:rPr>
          <w:b/>
        </w:rPr>
      </w:pPr>
    </w:p>
    <w:p w:rsidR="00987553" w:rsidRDefault="00987553" w:rsidP="00E3271A">
      <w:pPr>
        <w:widowControl w:val="0"/>
        <w:tabs>
          <w:tab w:val="left" w:pos="1800"/>
          <w:tab w:val="left" w:pos="3600"/>
        </w:tabs>
        <w:autoSpaceDE w:val="0"/>
        <w:autoSpaceDN w:val="0"/>
        <w:adjustRightInd w:val="0"/>
        <w:rPr>
          <w:b/>
        </w:rPr>
      </w:pPr>
    </w:p>
    <w:p w:rsidR="00987553" w:rsidRDefault="00987553" w:rsidP="00E3271A">
      <w:pPr>
        <w:widowControl w:val="0"/>
        <w:tabs>
          <w:tab w:val="left" w:pos="1800"/>
          <w:tab w:val="left" w:pos="3600"/>
        </w:tabs>
        <w:autoSpaceDE w:val="0"/>
        <w:autoSpaceDN w:val="0"/>
        <w:adjustRightInd w:val="0"/>
        <w:rPr>
          <w:b/>
        </w:rPr>
      </w:pPr>
    </w:p>
    <w:p w:rsidR="00E3271A" w:rsidRDefault="00F72E43" w:rsidP="00E3271A">
      <w:pPr>
        <w:widowControl w:val="0"/>
        <w:tabs>
          <w:tab w:val="left" w:pos="1800"/>
          <w:tab w:val="left" w:pos="3600"/>
        </w:tabs>
        <w:autoSpaceDE w:val="0"/>
        <w:autoSpaceDN w:val="0"/>
        <w:adjustRightInd w:val="0"/>
        <w:rPr>
          <w:b/>
          <w:sz w:val="28"/>
          <w:szCs w:val="28"/>
        </w:rPr>
      </w:pPr>
      <w:r w:rsidRPr="001937F9">
        <w:rPr>
          <w:b/>
        </w:rPr>
        <w:t>P</w:t>
      </w:r>
      <w:r w:rsidR="003A6F04">
        <w:rPr>
          <w:b/>
        </w:rPr>
        <w:t>urpose</w:t>
      </w:r>
      <w:r w:rsidRPr="001937F9">
        <w:t>:</w:t>
      </w:r>
      <w:r w:rsidR="00E3271A" w:rsidRPr="00E3271A">
        <w:rPr>
          <w:b/>
          <w:sz w:val="28"/>
          <w:szCs w:val="28"/>
        </w:rPr>
        <w:t xml:space="preserve"> </w:t>
      </w:r>
    </w:p>
    <w:p w:rsidR="00F72E43" w:rsidRDefault="00E3271A" w:rsidP="00E3271A">
      <w:pPr>
        <w:widowControl w:val="0"/>
        <w:tabs>
          <w:tab w:val="left" w:pos="1800"/>
          <w:tab w:val="left" w:pos="3600"/>
        </w:tabs>
        <w:autoSpaceDE w:val="0"/>
        <w:autoSpaceDN w:val="0"/>
        <w:adjustRightInd w:val="0"/>
      </w:pPr>
      <w:r>
        <w:t xml:space="preserve">This document provides guidelines for correlation of all instruments testing the same </w:t>
      </w:r>
      <w:proofErr w:type="spellStart"/>
      <w:r>
        <w:t>a</w:t>
      </w:r>
      <w:r w:rsidRPr="00E3271A">
        <w:t>nalyte</w:t>
      </w:r>
      <w:proofErr w:type="spellEnd"/>
      <w:r>
        <w:t xml:space="preserve">. </w:t>
      </w:r>
      <w:r w:rsidR="00F72E43">
        <w:t xml:space="preserve">If more than one instrument in a laboratory is used to produce results for a study, either as a backup or in normal usage, it is important that all instruments produce similar results. To verify that all instruments are producing similar results the laboratory must have a plan of correlation between instruments. </w:t>
      </w:r>
    </w:p>
    <w:p w:rsidR="00F72E43" w:rsidRDefault="00F72E43"/>
    <w:p w:rsidR="00F72E43" w:rsidRDefault="00F72E43">
      <w:r>
        <w:t>O</w:t>
      </w:r>
      <w:r w:rsidRPr="00B25828">
        <w:t>n</w:t>
      </w:r>
      <w:r>
        <w:t>e of the instruments should be designated and remain as the primary instrument. Only the primary instrument should be covered by EQA materials. All other instruments whether backup instruments or duplicate instruments are considered secondary instruments. These secondary instruments should be correlated back to the primary instrument using patient samples.</w:t>
      </w:r>
    </w:p>
    <w:p w:rsidR="00F72E43" w:rsidRDefault="00F72E43"/>
    <w:p w:rsidR="00F72E43" w:rsidRDefault="00F72E43">
      <w:r>
        <w:t>There are three main reasons for using correlation studies as opposed to covering all instruments with EQA:1) buying a proficiency panel for every instrument in every laboratory is cost prohibitive, 2)</w:t>
      </w:r>
      <w:r w:rsidRPr="00634E07">
        <w:t xml:space="preserve"> </w:t>
      </w:r>
      <w:r>
        <w:t>EQA materials have inherent li</w:t>
      </w:r>
      <w:r w:rsidR="003A6F04">
        <w:t xml:space="preserve">mitations such as: often </w:t>
      </w:r>
      <w:r>
        <w:t xml:space="preserve">composed of stabilized </w:t>
      </w:r>
      <w:r w:rsidR="003A6F04">
        <w:t xml:space="preserve">or </w:t>
      </w:r>
      <w:r>
        <w:t>synthetic materials, limited availability, and effects of shipping and 3) using patient correlation is immediately available</w:t>
      </w:r>
      <w:r w:rsidRPr="00634E07">
        <w:t xml:space="preserve"> </w:t>
      </w:r>
      <w:r>
        <w:t xml:space="preserve">to the laboratory and provides a means to prove how all results generated by all instruments for a particular </w:t>
      </w:r>
      <w:proofErr w:type="spellStart"/>
      <w:r>
        <w:t>analyte</w:t>
      </w:r>
      <w:proofErr w:type="spellEnd"/>
      <w:r>
        <w:t xml:space="preserve"> relate to one another. </w:t>
      </w:r>
    </w:p>
    <w:p w:rsidR="00F72E43" w:rsidRDefault="00F72E43"/>
    <w:p w:rsidR="00F72E43" w:rsidRDefault="00F72E43">
      <w:r>
        <w:rPr>
          <w:b/>
        </w:rPr>
        <w:t>The regulatory r</w:t>
      </w:r>
      <w:r w:rsidRPr="001937F9">
        <w:rPr>
          <w:b/>
        </w:rPr>
        <w:t>equirements:</w:t>
      </w:r>
    </w:p>
    <w:p w:rsidR="00F72E43" w:rsidRDefault="00F72E43" w:rsidP="0053731B">
      <w:pPr>
        <w:numPr>
          <w:ilvl w:val="0"/>
          <w:numId w:val="1"/>
        </w:numPr>
      </w:pPr>
      <w:r>
        <w:t>Secondary instruments must be correlated to the primary instrument at minimum each six months.</w:t>
      </w:r>
    </w:p>
    <w:p w:rsidR="00F72E43" w:rsidRDefault="00F72E43" w:rsidP="0053731B">
      <w:pPr>
        <w:numPr>
          <w:ilvl w:val="0"/>
          <w:numId w:val="1"/>
        </w:numPr>
      </w:pPr>
      <w:r>
        <w:t xml:space="preserve">Samples should cover as much of the full </w:t>
      </w:r>
      <w:proofErr w:type="spellStart"/>
      <w:r>
        <w:t>analyte</w:t>
      </w:r>
      <w:proofErr w:type="spellEnd"/>
      <w:r>
        <w:t xml:space="preserve"> instrument range as possible.</w:t>
      </w:r>
    </w:p>
    <w:p w:rsidR="003A6F04" w:rsidRDefault="00F72E43" w:rsidP="0053731B">
      <w:pPr>
        <w:numPr>
          <w:ilvl w:val="0"/>
          <w:numId w:val="1"/>
        </w:numPr>
      </w:pPr>
      <w:r>
        <w:t>Criteria must be established by the Laboratory Director</w:t>
      </w:r>
      <w:r w:rsidR="009C2683">
        <w:t xml:space="preserve"> to grade the results of the correlation.</w:t>
      </w:r>
    </w:p>
    <w:p w:rsidR="009C2683" w:rsidRDefault="009C2683" w:rsidP="0053731B">
      <w:pPr>
        <w:numPr>
          <w:ilvl w:val="0"/>
          <w:numId w:val="1"/>
        </w:numPr>
      </w:pPr>
      <w:r>
        <w:t>Instrument results that fail to fall within Director approved criteria should be investigated, corrected and then repeated.</w:t>
      </w:r>
    </w:p>
    <w:p w:rsidR="00F72E43" w:rsidRDefault="00F72E43" w:rsidP="0053731B">
      <w:pPr>
        <w:numPr>
          <w:ilvl w:val="0"/>
          <w:numId w:val="1"/>
        </w:numPr>
      </w:pPr>
      <w:r>
        <w:t>All documentation is approved by the Laboratory Director or designee and then maintained in a central location for inspections and audits.</w:t>
      </w:r>
    </w:p>
    <w:p w:rsidR="00F72E43" w:rsidRDefault="00F72E43" w:rsidP="009F176A">
      <w:pPr>
        <w:rPr>
          <w:b/>
        </w:rPr>
      </w:pPr>
    </w:p>
    <w:p w:rsidR="00F72E43" w:rsidRPr="001937F9" w:rsidRDefault="00F72E43" w:rsidP="009F176A">
      <w:pPr>
        <w:rPr>
          <w:b/>
        </w:rPr>
      </w:pPr>
      <w:r>
        <w:rPr>
          <w:b/>
        </w:rPr>
        <w:t xml:space="preserve">Acceptance </w:t>
      </w:r>
      <w:r w:rsidRPr="001937F9">
        <w:rPr>
          <w:b/>
        </w:rPr>
        <w:t>Criteria:</w:t>
      </w:r>
    </w:p>
    <w:p w:rsidR="00F72E43" w:rsidRDefault="00F72E43" w:rsidP="009F176A">
      <w:r>
        <w:t>The criteria used to evaluate the correlation study are left up to the laboratory to establish. Things that influence this are the methodologies of the two instruments and the tolerance the laboratory has for instrument-to-instrument data bias. Often laboratories begin with criteria that are relatively easy to meet and then over time tighten them to a point that will quickly show any problems developing.</w:t>
      </w:r>
    </w:p>
    <w:p w:rsidR="00F72E43" w:rsidRDefault="00F72E43" w:rsidP="009F176A"/>
    <w:p w:rsidR="00F72E43" w:rsidRDefault="00F72E43" w:rsidP="009F176A">
      <w:r>
        <w:t xml:space="preserve">To begin correlation studies laboratories can use </w:t>
      </w:r>
      <w:r w:rsidR="009C2683">
        <w:t>Clinical Laboratory Improvement Amendments (</w:t>
      </w:r>
      <w:r>
        <w:t>CLIA</w:t>
      </w:r>
      <w:r w:rsidR="009C2683">
        <w:t>)</w:t>
      </w:r>
      <w:r>
        <w:t xml:space="preserve"> criteria, which are normally expressed as a percent difference from the target</w:t>
      </w:r>
      <w:r w:rsidR="004F1F95">
        <w:t>, a number of standard deviations from the mean</w:t>
      </w:r>
      <w:r>
        <w:t xml:space="preserve"> or in the low ranges sometimes an absolute value from the target. The primary instrument would be considered the target value. The following website lists these criteria</w:t>
      </w:r>
      <w:r w:rsidR="004F1F95">
        <w:t xml:space="preserve"> </w:t>
      </w:r>
      <w:hyperlink r:id="rId8" w:history="1">
        <w:r w:rsidRPr="0099365F">
          <w:rPr>
            <w:rStyle w:val="Hyperlink"/>
          </w:rPr>
          <w:t>http://wwwn.cdc.gov/clia/regs/subpart_i.aspx</w:t>
        </w:r>
      </w:hyperlink>
      <w:r>
        <w:t xml:space="preserve"> for the various areas of the laboratory. </w:t>
      </w:r>
    </w:p>
    <w:p w:rsidR="007A0DD0" w:rsidRDefault="007A0DD0" w:rsidP="009F176A"/>
    <w:p w:rsidR="009C2683" w:rsidRDefault="009C2683" w:rsidP="009F176A">
      <w:r>
        <w:t xml:space="preserve">If an </w:t>
      </w:r>
      <w:proofErr w:type="spellStart"/>
      <w:r>
        <w:t>analyte</w:t>
      </w:r>
      <w:proofErr w:type="spellEnd"/>
      <w:r>
        <w:t xml:space="preserve"> is not listed by CLIA</w:t>
      </w:r>
      <w:r w:rsidR="00450B23">
        <w:t>,</w:t>
      </w:r>
      <w:r>
        <w:t xml:space="preserve"> then often </w:t>
      </w:r>
      <w:r w:rsidR="00450B23">
        <w:t>acceptable criteria</w:t>
      </w:r>
      <w:r>
        <w:t xml:space="preserve"> can be found </w:t>
      </w:r>
      <w:r w:rsidR="00450B23">
        <w:t xml:space="preserve">listed </w:t>
      </w:r>
      <w:r>
        <w:t>in the College of American Pathology (CAP) Part</w:t>
      </w:r>
      <w:r w:rsidR="00450B23">
        <w:t xml:space="preserve">icipant Summary Result booklet for the survey that contains the </w:t>
      </w:r>
      <w:proofErr w:type="spellStart"/>
      <w:r w:rsidR="00450B23">
        <w:t>analyte</w:t>
      </w:r>
      <w:proofErr w:type="spellEnd"/>
      <w:r w:rsidR="00450B23">
        <w:t>.</w:t>
      </w:r>
    </w:p>
    <w:p w:rsidR="00F72E43" w:rsidRDefault="00F72E43" w:rsidP="009F176A"/>
    <w:p w:rsidR="00F72E43" w:rsidRDefault="00F72E43" w:rsidP="009F176A">
      <w:r>
        <w:t>After the correlation studies have been performed for a period of time the laboratory should review the correlations and work toward narrowing the correlation criteria. This will produce a sensitive indicator of instruments not performing correctly.</w:t>
      </w:r>
    </w:p>
    <w:p w:rsidR="00F72E43" w:rsidRDefault="00F72E43" w:rsidP="009F176A"/>
    <w:p w:rsidR="00F72E43" w:rsidRPr="009F176A" w:rsidRDefault="00F72E43" w:rsidP="00710167">
      <w:r>
        <w:rPr>
          <w:b/>
        </w:rPr>
        <w:t>Suggested C</w:t>
      </w:r>
      <w:r w:rsidRPr="009F176A">
        <w:rPr>
          <w:b/>
        </w:rPr>
        <w:t>orrelation</w:t>
      </w:r>
      <w:r>
        <w:rPr>
          <w:b/>
        </w:rPr>
        <w:t xml:space="preserve"> Plan</w:t>
      </w:r>
      <w:r w:rsidRPr="009F176A">
        <w:rPr>
          <w:b/>
        </w:rPr>
        <w:t>:</w:t>
      </w:r>
      <w:r w:rsidRPr="009F176A">
        <w:t xml:space="preserve"> </w:t>
      </w:r>
    </w:p>
    <w:p w:rsidR="00F72E43" w:rsidRDefault="00F72E43" w:rsidP="00710167">
      <w:r w:rsidRPr="009F176A">
        <w:t>Although the</w:t>
      </w:r>
      <w:r>
        <w:t xml:space="preserve"> laboratory is only required to run correlation once each six months it is often easier when the instruments are in the same laboratory to run correlation studies more frequently. By running correlations weekly, bi-weekly or monthly with a few samples each time the laboratory will find it easier to meet the instrument range requirement for all </w:t>
      </w:r>
      <w:proofErr w:type="spellStart"/>
      <w:r>
        <w:t>analytes</w:t>
      </w:r>
      <w:proofErr w:type="spellEnd"/>
      <w:r>
        <w:t>. They will also improve their chances of finding correlation errors earlier.</w:t>
      </w:r>
      <w:r w:rsidR="004F1F95">
        <w:t xml:space="preserve"> One such scheme is listed below.</w:t>
      </w:r>
    </w:p>
    <w:p w:rsidR="00F72E43" w:rsidRDefault="00F72E43" w:rsidP="00710167"/>
    <w:p w:rsidR="00F72E43" w:rsidRDefault="00F72E43" w:rsidP="00750980">
      <w:pPr>
        <w:numPr>
          <w:ilvl w:val="0"/>
          <w:numId w:val="2"/>
        </w:numPr>
      </w:pPr>
      <w:r>
        <w:t xml:space="preserve">Correlate weekly between all instruments running the same </w:t>
      </w:r>
      <w:proofErr w:type="spellStart"/>
      <w:r>
        <w:t>analyte</w:t>
      </w:r>
      <w:proofErr w:type="spellEnd"/>
      <w:r>
        <w:t xml:space="preserve">. </w:t>
      </w:r>
    </w:p>
    <w:p w:rsidR="00F72E43" w:rsidRDefault="00F72E43" w:rsidP="0036500E">
      <w:pPr>
        <w:numPr>
          <w:ilvl w:val="0"/>
          <w:numId w:val="2"/>
        </w:numPr>
      </w:pPr>
      <w:r>
        <w:t xml:space="preserve">Each week select three samples from the patient run. Try to select samples that vary in some </w:t>
      </w:r>
      <w:proofErr w:type="spellStart"/>
      <w:r>
        <w:t>analytes</w:t>
      </w:r>
      <w:proofErr w:type="spellEnd"/>
      <w:r>
        <w:t xml:space="preserve"> from the low to high </w:t>
      </w:r>
      <w:proofErr w:type="spellStart"/>
      <w:r>
        <w:t>analyte</w:t>
      </w:r>
      <w:proofErr w:type="spellEnd"/>
      <w:r>
        <w:t xml:space="preserve"> range. Samples should be selected with sufficient volume to run on all instruments. </w:t>
      </w:r>
    </w:p>
    <w:p w:rsidR="00F72E43" w:rsidRDefault="00F72E43" w:rsidP="0036500E">
      <w:pPr>
        <w:numPr>
          <w:ilvl w:val="0"/>
          <w:numId w:val="2"/>
        </w:numPr>
      </w:pPr>
      <w:r>
        <w:t xml:space="preserve">Run </w:t>
      </w:r>
      <w:r w:rsidR="00D16C34">
        <w:t xml:space="preserve">all </w:t>
      </w:r>
      <w:r>
        <w:t xml:space="preserve">the samples once on the primary instrument. Record the values produced for these </w:t>
      </w:r>
      <w:proofErr w:type="spellStart"/>
      <w:r>
        <w:t>analytes</w:t>
      </w:r>
      <w:proofErr w:type="spellEnd"/>
      <w:r>
        <w:t xml:space="preserve"> as the target values.</w:t>
      </w:r>
    </w:p>
    <w:p w:rsidR="00F72E43" w:rsidRDefault="00F72E43" w:rsidP="0036500E">
      <w:pPr>
        <w:numPr>
          <w:ilvl w:val="0"/>
          <w:numId w:val="2"/>
        </w:numPr>
      </w:pPr>
      <w:r>
        <w:t>Run the samples on the secondary instrument(s). Record the values produced.</w:t>
      </w:r>
    </w:p>
    <w:p w:rsidR="00F72E43" w:rsidRDefault="00D16C34" w:rsidP="00984E0B">
      <w:pPr>
        <w:numPr>
          <w:ilvl w:val="0"/>
          <w:numId w:val="2"/>
        </w:numPr>
      </w:pPr>
      <w:r>
        <w:t>Evaluate each sample independently of the other samples.</w:t>
      </w:r>
      <w:r w:rsidR="00F72E43">
        <w:t xml:space="preserve"> This may give some indication of problems that can be traced to high, low or proportional bias.</w:t>
      </w:r>
    </w:p>
    <w:p w:rsidR="00F72E43" w:rsidRDefault="00F72E43" w:rsidP="00984E0B">
      <w:pPr>
        <w:numPr>
          <w:ilvl w:val="0"/>
          <w:numId w:val="2"/>
        </w:numPr>
      </w:pPr>
      <w:r>
        <w:t>Review the data by the established correlation criteria in relation to the target values and approve or disapprove the correlation.</w:t>
      </w:r>
      <w:r w:rsidRPr="00984E0B">
        <w:t xml:space="preserve"> </w:t>
      </w:r>
    </w:p>
    <w:p w:rsidR="00D16C34" w:rsidRDefault="00D16C34" w:rsidP="00D16C34">
      <w:pPr>
        <w:numPr>
          <w:ilvl w:val="0"/>
          <w:numId w:val="2"/>
        </w:numPr>
      </w:pPr>
      <w:r>
        <w:t>Instrument results that fail to fall within Director approved criteria should be investigated, corrected and then repeated.</w:t>
      </w:r>
    </w:p>
    <w:p w:rsidR="00F72E43" w:rsidRDefault="00F72E43" w:rsidP="00F10E7C">
      <w:pPr>
        <w:numPr>
          <w:ilvl w:val="0"/>
          <w:numId w:val="2"/>
        </w:numPr>
      </w:pPr>
      <w:r>
        <w:t>All documentation is approved, signed and dated by the Laboratory Director and/or designee and then maintained in a central location for inspections and audits.</w:t>
      </w:r>
    </w:p>
    <w:p w:rsidR="00F72E43" w:rsidRDefault="00F72E43" w:rsidP="0036500E">
      <w:pPr>
        <w:numPr>
          <w:ilvl w:val="0"/>
          <w:numId w:val="2"/>
        </w:numPr>
      </w:pPr>
      <w:r>
        <w:t>More information can be gained if the patient correlations are also run at the same time the EQA samples are run. Then if biases are noted in the EQA results of the primary you can review your correlation for similar bias, etc.</w:t>
      </w:r>
    </w:p>
    <w:p w:rsidR="006A31B2" w:rsidRDefault="006A31B2" w:rsidP="006A31B2"/>
    <w:p w:rsidR="007A0DD0" w:rsidRDefault="006A31B2" w:rsidP="00D16C34">
      <w:pPr>
        <w:rPr>
          <w:b/>
        </w:rPr>
      </w:pPr>
      <w:r>
        <w:rPr>
          <w:b/>
        </w:rPr>
        <w:t>Additional Options:</w:t>
      </w:r>
    </w:p>
    <w:p w:rsidR="006A31B2" w:rsidRDefault="006A31B2" w:rsidP="006A31B2">
      <w:pPr>
        <w:numPr>
          <w:ilvl w:val="0"/>
          <w:numId w:val="6"/>
        </w:numPr>
      </w:pPr>
      <w:r>
        <w:t>In some cases the EQA material can be run successfully on a second instrument after the primary instrument’s results have been resulted to the provider. Submitting the primary results before retesting the materials on a second instrument is required on most EQA schemes, unless the survey allows submission of a second instrument or patients are normally tested in such a method. Results from secondary instruments can be documented and then compared with the provider peer results and your primary results.</w:t>
      </w:r>
      <w:r w:rsidR="004F2BAA">
        <w:t xml:space="preserve"> Use the established correlation criteria when evaluating results. (Note: EQA materials that are instrument specific, such as certain hematology </w:t>
      </w:r>
      <w:proofErr w:type="spellStart"/>
      <w:r w:rsidR="004F2BAA">
        <w:t>analytes</w:t>
      </w:r>
      <w:proofErr w:type="spellEnd"/>
      <w:r w:rsidR="004F2BAA">
        <w:t xml:space="preserve"> may not test successfully on a </w:t>
      </w:r>
      <w:r w:rsidR="001A5D1A">
        <w:t>second</w:t>
      </w:r>
      <w:r w:rsidR="004F2BAA">
        <w:t xml:space="preserve"> instrument</w:t>
      </w:r>
      <w:r w:rsidR="001A5D1A">
        <w:t xml:space="preserve"> of a different type</w:t>
      </w:r>
      <w:r w:rsidR="004F2BAA">
        <w:t>.)</w:t>
      </w:r>
      <w:r w:rsidR="001448C7">
        <w:t xml:space="preserve"> These records should also be reviewed, signed off and included in the correlation records, not with the EQA records.</w:t>
      </w:r>
    </w:p>
    <w:p w:rsidR="004F2BAA" w:rsidRPr="006A31B2" w:rsidRDefault="004F2BAA" w:rsidP="006A31B2">
      <w:pPr>
        <w:numPr>
          <w:ilvl w:val="0"/>
          <w:numId w:val="6"/>
        </w:numPr>
      </w:pPr>
      <w:r>
        <w:t xml:space="preserve">Excellent correlation and peer information can be obtained by participation in peer programs from quality control materials vendors. This requires </w:t>
      </w:r>
      <w:r w:rsidR="001448C7">
        <w:t xml:space="preserve">regular </w:t>
      </w:r>
      <w:r>
        <w:t>submission by the laboratory of their QC data electronically and results in reports that show how you compare with your</w:t>
      </w:r>
      <w:r w:rsidR="004E4D6B">
        <w:t xml:space="preserve"> external</w:t>
      </w:r>
      <w:r>
        <w:t xml:space="preserve"> peer group. This information can </w:t>
      </w:r>
      <w:r w:rsidR="001A5D1A">
        <w:t xml:space="preserve">be </w:t>
      </w:r>
      <w:r>
        <w:t>tremendously helpful</w:t>
      </w:r>
      <w:r w:rsidR="001A5D1A">
        <w:t xml:space="preserve"> in determining your laboratory’s relation to peers at other locations and alert you to potential problems</w:t>
      </w:r>
      <w:r>
        <w:t xml:space="preserve">. Bio-Rad is one vendor that has programs such as </w:t>
      </w:r>
      <w:proofErr w:type="spellStart"/>
      <w:r w:rsidRPr="001448C7">
        <w:rPr>
          <w:i/>
        </w:rPr>
        <w:t>OnCall</w:t>
      </w:r>
      <w:proofErr w:type="spellEnd"/>
      <w:r>
        <w:t xml:space="preserve"> and </w:t>
      </w:r>
      <w:r w:rsidRPr="001448C7">
        <w:rPr>
          <w:i/>
        </w:rPr>
        <w:t>Unity</w:t>
      </w:r>
      <w:r>
        <w:t>. Most vendors have these programs and you can often negotiate them to</w:t>
      </w:r>
      <w:r w:rsidR="004E4D6B">
        <w:t xml:space="preserve"> no or</w:t>
      </w:r>
      <w:r>
        <w:t xml:space="preserve"> little extra cost by using their product.</w:t>
      </w:r>
      <w:r w:rsidR="001A5D1A">
        <w:t xml:space="preserve"> Keep these records </w:t>
      </w:r>
      <w:r w:rsidR="002A59B3">
        <w:t xml:space="preserve">reviewed and signed off </w:t>
      </w:r>
      <w:r w:rsidR="001A5D1A">
        <w:t xml:space="preserve">either with the correlation records or </w:t>
      </w:r>
      <w:r w:rsidR="002A59B3">
        <w:t>as a separate QA program documentation.</w:t>
      </w:r>
    </w:p>
    <w:p w:rsidR="006A31B2" w:rsidRDefault="006A31B2" w:rsidP="00D16C34">
      <w:pPr>
        <w:rPr>
          <w:b/>
        </w:rPr>
      </w:pPr>
    </w:p>
    <w:p w:rsidR="006A31B2" w:rsidRDefault="006A31B2" w:rsidP="00D16C34"/>
    <w:p w:rsidR="007A0DD0" w:rsidRDefault="007A0DD0" w:rsidP="00D16C34"/>
    <w:p w:rsidR="00D16C34" w:rsidRDefault="00D16C34" w:rsidP="00D16C34">
      <w:pPr>
        <w:rPr>
          <w:b/>
        </w:rPr>
      </w:pPr>
      <w:r w:rsidRPr="00D16C34">
        <w:rPr>
          <w:b/>
        </w:rPr>
        <w:t>References:</w:t>
      </w:r>
    </w:p>
    <w:p w:rsidR="00D16C34" w:rsidRDefault="006166A1" w:rsidP="00C8272E">
      <w:pPr>
        <w:autoSpaceDE w:val="0"/>
        <w:autoSpaceDN w:val="0"/>
        <w:adjustRightInd w:val="0"/>
        <w:rPr>
          <w:sz w:val="20"/>
          <w:szCs w:val="20"/>
        </w:rPr>
      </w:pPr>
      <w:r>
        <w:rPr>
          <w:sz w:val="20"/>
          <w:szCs w:val="20"/>
        </w:rPr>
        <w:t xml:space="preserve"> </w:t>
      </w:r>
      <w:proofErr w:type="gramStart"/>
      <w:r>
        <w:rPr>
          <w:sz w:val="20"/>
          <w:szCs w:val="20"/>
        </w:rPr>
        <w:t>C</w:t>
      </w:r>
      <w:r w:rsidR="00AC3C8D">
        <w:rPr>
          <w:sz w:val="20"/>
          <w:szCs w:val="20"/>
        </w:rPr>
        <w:t>linical and Laboratory Standards Institute.</w:t>
      </w:r>
      <w:proofErr w:type="gramEnd"/>
      <w:r w:rsidR="00C8272E" w:rsidRPr="00C8272E">
        <w:rPr>
          <w:sz w:val="20"/>
          <w:szCs w:val="20"/>
        </w:rPr>
        <w:t xml:space="preserve"> </w:t>
      </w:r>
      <w:r w:rsidR="00C8272E" w:rsidRPr="00C8272E">
        <w:rPr>
          <w:i/>
          <w:iCs/>
          <w:sz w:val="20"/>
          <w:szCs w:val="20"/>
        </w:rPr>
        <w:t xml:space="preserve">Verification of Comparability of Patient Results </w:t>
      </w:r>
      <w:proofErr w:type="gramStart"/>
      <w:r w:rsidR="00C8272E" w:rsidRPr="00C8272E">
        <w:rPr>
          <w:i/>
          <w:iCs/>
          <w:sz w:val="20"/>
          <w:szCs w:val="20"/>
        </w:rPr>
        <w:t>Within</w:t>
      </w:r>
      <w:proofErr w:type="gramEnd"/>
      <w:r w:rsidR="00C8272E" w:rsidRPr="00C8272E">
        <w:rPr>
          <w:i/>
          <w:iCs/>
          <w:sz w:val="20"/>
          <w:szCs w:val="20"/>
        </w:rPr>
        <w:t xml:space="preserve"> One Health Care</w:t>
      </w:r>
      <w:r w:rsidR="00C8272E">
        <w:rPr>
          <w:i/>
          <w:iCs/>
          <w:sz w:val="20"/>
          <w:szCs w:val="20"/>
        </w:rPr>
        <w:t xml:space="preserve"> </w:t>
      </w:r>
      <w:r w:rsidR="00C8272E" w:rsidRPr="00C8272E">
        <w:rPr>
          <w:i/>
          <w:iCs/>
          <w:sz w:val="20"/>
          <w:szCs w:val="20"/>
        </w:rPr>
        <w:t>System; Approved G</w:t>
      </w:r>
      <w:r w:rsidR="00C8272E">
        <w:rPr>
          <w:i/>
          <w:iCs/>
          <w:sz w:val="20"/>
          <w:szCs w:val="20"/>
        </w:rPr>
        <w:t>u</w:t>
      </w:r>
      <w:r w:rsidR="00C8272E" w:rsidRPr="00C8272E">
        <w:rPr>
          <w:i/>
          <w:iCs/>
          <w:sz w:val="20"/>
          <w:szCs w:val="20"/>
        </w:rPr>
        <w:t xml:space="preserve">ideline. </w:t>
      </w:r>
      <w:r w:rsidR="00C8272E" w:rsidRPr="00C8272E">
        <w:rPr>
          <w:sz w:val="20"/>
          <w:szCs w:val="20"/>
        </w:rPr>
        <w:t>CLSI document C54-</w:t>
      </w:r>
      <w:proofErr w:type="gramStart"/>
      <w:r w:rsidR="00C8272E" w:rsidRPr="00C8272E">
        <w:rPr>
          <w:sz w:val="20"/>
          <w:szCs w:val="20"/>
        </w:rPr>
        <w:t xml:space="preserve">A </w:t>
      </w:r>
      <w:r w:rsidR="00C8272E">
        <w:rPr>
          <w:sz w:val="20"/>
          <w:szCs w:val="20"/>
        </w:rPr>
        <w:t>.</w:t>
      </w:r>
      <w:proofErr w:type="gramEnd"/>
      <w:r w:rsidRPr="006166A1">
        <w:rPr>
          <w:sz w:val="20"/>
          <w:szCs w:val="20"/>
        </w:rPr>
        <w:t xml:space="preserve"> </w:t>
      </w:r>
      <w:proofErr w:type="gramStart"/>
      <w:r w:rsidRPr="00C8272E">
        <w:rPr>
          <w:sz w:val="20"/>
          <w:szCs w:val="20"/>
        </w:rPr>
        <w:t>(ISBN 1-56238-671-9).</w:t>
      </w:r>
      <w:proofErr w:type="gramEnd"/>
      <w:r w:rsidRPr="00C8272E">
        <w:rPr>
          <w:sz w:val="20"/>
          <w:szCs w:val="20"/>
        </w:rPr>
        <w:t xml:space="preserve"> </w:t>
      </w:r>
      <w:proofErr w:type="gramStart"/>
      <w:r w:rsidR="00C8272E" w:rsidRPr="00C8272E">
        <w:rPr>
          <w:sz w:val="20"/>
          <w:szCs w:val="20"/>
        </w:rPr>
        <w:t>Wayne, P</w:t>
      </w:r>
      <w:r w:rsidR="00C8272E">
        <w:rPr>
          <w:sz w:val="20"/>
          <w:szCs w:val="20"/>
        </w:rPr>
        <w:t>A</w:t>
      </w:r>
      <w:r>
        <w:rPr>
          <w:sz w:val="20"/>
          <w:szCs w:val="20"/>
        </w:rPr>
        <w:t xml:space="preserve">; </w:t>
      </w:r>
      <w:r w:rsidR="00C8272E" w:rsidRPr="00C8272E">
        <w:rPr>
          <w:sz w:val="20"/>
          <w:szCs w:val="20"/>
        </w:rPr>
        <w:t>2008.</w:t>
      </w:r>
      <w:proofErr w:type="gramEnd"/>
    </w:p>
    <w:p w:rsidR="00C8272E" w:rsidRDefault="00C8272E" w:rsidP="00C8272E">
      <w:pPr>
        <w:autoSpaceDE w:val="0"/>
        <w:autoSpaceDN w:val="0"/>
        <w:adjustRightInd w:val="0"/>
        <w:rPr>
          <w:sz w:val="20"/>
          <w:szCs w:val="20"/>
        </w:rPr>
      </w:pPr>
    </w:p>
    <w:p w:rsidR="00D05995" w:rsidRDefault="00D05995" w:rsidP="00C8272E">
      <w:pPr>
        <w:autoSpaceDE w:val="0"/>
        <w:autoSpaceDN w:val="0"/>
        <w:adjustRightInd w:val="0"/>
        <w:rPr>
          <w:sz w:val="20"/>
          <w:szCs w:val="20"/>
        </w:rPr>
      </w:pPr>
      <w:proofErr w:type="gramStart"/>
      <w:r>
        <w:rPr>
          <w:sz w:val="20"/>
          <w:szCs w:val="20"/>
        </w:rPr>
        <w:t>NCCLS.</w:t>
      </w:r>
      <w:proofErr w:type="gramEnd"/>
      <w:r>
        <w:rPr>
          <w:sz w:val="20"/>
          <w:szCs w:val="20"/>
        </w:rPr>
        <w:t xml:space="preserve"> </w:t>
      </w:r>
      <w:r>
        <w:rPr>
          <w:i/>
          <w:sz w:val="20"/>
          <w:szCs w:val="20"/>
        </w:rPr>
        <w:t xml:space="preserve">Method Comparison and Bias Estimation Using Patient Samples: Approved Guideline –Second Edition. </w:t>
      </w:r>
      <w:r>
        <w:rPr>
          <w:sz w:val="20"/>
          <w:szCs w:val="20"/>
        </w:rPr>
        <w:t xml:space="preserve">NCCLS document EP9-A2 [ISBN 1-56238]. </w:t>
      </w:r>
      <w:smartTag w:uri="urn:schemas-microsoft-com:office:smarttags" w:element="place">
        <w:smartTag w:uri="urn:schemas-microsoft-com:office:smarttags" w:element="City">
          <w:r>
            <w:rPr>
              <w:sz w:val="20"/>
              <w:szCs w:val="20"/>
            </w:rPr>
            <w:t>Wayne</w:t>
          </w:r>
        </w:smartTag>
        <w:r>
          <w:rPr>
            <w:sz w:val="20"/>
            <w:szCs w:val="20"/>
          </w:rPr>
          <w:t xml:space="preserve">, </w:t>
        </w:r>
        <w:smartTag w:uri="urn:schemas-microsoft-com:office:smarttags" w:element="State">
          <w:r>
            <w:rPr>
              <w:sz w:val="20"/>
              <w:szCs w:val="20"/>
            </w:rPr>
            <w:t>PA</w:t>
          </w:r>
        </w:smartTag>
      </w:smartTag>
      <w:r>
        <w:rPr>
          <w:sz w:val="20"/>
          <w:szCs w:val="20"/>
        </w:rPr>
        <w:t>; 2002</w:t>
      </w:r>
    </w:p>
    <w:p w:rsidR="00AC3C8D" w:rsidRDefault="00AC3C8D" w:rsidP="00C8272E">
      <w:pPr>
        <w:autoSpaceDE w:val="0"/>
        <w:autoSpaceDN w:val="0"/>
        <w:adjustRightInd w:val="0"/>
        <w:rPr>
          <w:sz w:val="20"/>
          <w:szCs w:val="20"/>
        </w:rPr>
      </w:pPr>
    </w:p>
    <w:p w:rsidR="00AC3C8D" w:rsidRDefault="00AC3C8D" w:rsidP="00AC3C8D">
      <w:pPr>
        <w:autoSpaceDE w:val="0"/>
        <w:autoSpaceDN w:val="0"/>
        <w:adjustRightInd w:val="0"/>
        <w:rPr>
          <w:sz w:val="20"/>
          <w:szCs w:val="20"/>
        </w:rPr>
      </w:pPr>
      <w:proofErr w:type="gramStart"/>
      <w:r>
        <w:rPr>
          <w:sz w:val="20"/>
          <w:szCs w:val="20"/>
        </w:rPr>
        <w:t>Clinical and Laboratory Standards Institute.</w:t>
      </w:r>
      <w:proofErr w:type="gramEnd"/>
      <w:r w:rsidRPr="00C8272E">
        <w:rPr>
          <w:sz w:val="20"/>
          <w:szCs w:val="20"/>
        </w:rPr>
        <w:t xml:space="preserve"> </w:t>
      </w:r>
      <w:r>
        <w:rPr>
          <w:i/>
          <w:iCs/>
          <w:sz w:val="20"/>
          <w:szCs w:val="20"/>
        </w:rPr>
        <w:t>Statistical Quality Control for Quantitative Measurement Procedures: Principles and Definitions; Approved Guideline—Third Edition</w:t>
      </w:r>
      <w:r w:rsidRPr="00C8272E">
        <w:rPr>
          <w:i/>
          <w:iCs/>
          <w:sz w:val="20"/>
          <w:szCs w:val="20"/>
        </w:rPr>
        <w:t xml:space="preserve">. </w:t>
      </w:r>
      <w:r>
        <w:rPr>
          <w:sz w:val="20"/>
          <w:szCs w:val="20"/>
        </w:rPr>
        <w:t>CLSI document C24-</w:t>
      </w:r>
      <w:proofErr w:type="gramStart"/>
      <w:r>
        <w:rPr>
          <w:sz w:val="20"/>
          <w:szCs w:val="20"/>
        </w:rPr>
        <w:t>A3</w:t>
      </w:r>
      <w:r w:rsidRPr="00C8272E">
        <w:rPr>
          <w:sz w:val="20"/>
          <w:szCs w:val="20"/>
        </w:rPr>
        <w:t xml:space="preserve"> </w:t>
      </w:r>
      <w:r>
        <w:rPr>
          <w:sz w:val="20"/>
          <w:szCs w:val="20"/>
        </w:rPr>
        <w:t>.</w:t>
      </w:r>
      <w:proofErr w:type="gramEnd"/>
      <w:r w:rsidRPr="006166A1">
        <w:rPr>
          <w:sz w:val="20"/>
          <w:szCs w:val="20"/>
        </w:rPr>
        <w:t xml:space="preserve"> </w:t>
      </w:r>
      <w:proofErr w:type="gramStart"/>
      <w:r>
        <w:rPr>
          <w:sz w:val="20"/>
          <w:szCs w:val="20"/>
        </w:rPr>
        <w:t>(ISBN 1-56238-613</w:t>
      </w:r>
      <w:r w:rsidRPr="00C8272E">
        <w:rPr>
          <w:sz w:val="20"/>
          <w:szCs w:val="20"/>
        </w:rPr>
        <w:t>-</w:t>
      </w:r>
      <w:r>
        <w:rPr>
          <w:sz w:val="20"/>
          <w:szCs w:val="20"/>
        </w:rPr>
        <w:t>1</w:t>
      </w:r>
      <w:r w:rsidRPr="00C8272E">
        <w:rPr>
          <w:sz w:val="20"/>
          <w:szCs w:val="20"/>
        </w:rPr>
        <w:t>).</w:t>
      </w:r>
      <w:proofErr w:type="gramEnd"/>
      <w:r w:rsidRPr="00C8272E">
        <w:rPr>
          <w:sz w:val="20"/>
          <w:szCs w:val="20"/>
        </w:rPr>
        <w:t xml:space="preserve"> </w:t>
      </w:r>
      <w:proofErr w:type="gramStart"/>
      <w:r w:rsidRPr="00C8272E">
        <w:rPr>
          <w:sz w:val="20"/>
          <w:szCs w:val="20"/>
        </w:rPr>
        <w:t>Wayne, P</w:t>
      </w:r>
      <w:r>
        <w:rPr>
          <w:sz w:val="20"/>
          <w:szCs w:val="20"/>
        </w:rPr>
        <w:t>A; 2006</w:t>
      </w:r>
      <w:r w:rsidRPr="00C8272E">
        <w:rPr>
          <w:sz w:val="20"/>
          <w:szCs w:val="20"/>
        </w:rPr>
        <w:t>.</w:t>
      </w:r>
      <w:proofErr w:type="gramEnd"/>
    </w:p>
    <w:p w:rsidR="00AC3C8D" w:rsidRPr="00D05995" w:rsidRDefault="00AC3C8D" w:rsidP="00C8272E">
      <w:pPr>
        <w:autoSpaceDE w:val="0"/>
        <w:autoSpaceDN w:val="0"/>
        <w:adjustRightInd w:val="0"/>
        <w:rPr>
          <w:sz w:val="20"/>
          <w:szCs w:val="20"/>
        </w:rPr>
      </w:pPr>
    </w:p>
    <w:sectPr w:rsidR="00AC3C8D" w:rsidRPr="00D05995" w:rsidSect="0090479F">
      <w:footerReference w:type="default" r:id="rId9"/>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03" w:rsidRDefault="00545D03" w:rsidP="003A6F04">
      <w:r>
        <w:separator/>
      </w:r>
    </w:p>
  </w:endnote>
  <w:endnote w:type="continuationSeparator" w:id="0">
    <w:p w:rsidR="00545D03" w:rsidRDefault="00545D03" w:rsidP="003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1A" w:rsidRDefault="00545D03" w:rsidP="0090479F">
    <w:pPr>
      <w:pStyle w:val="Footer"/>
    </w:pPr>
    <w:r>
      <w:fldChar w:fldCharType="begin"/>
    </w:r>
    <w:r>
      <w:instrText xml:space="preserve"> FILENAME  \* FirstCap  \* MERGEFORMAT </w:instrText>
    </w:r>
    <w:r>
      <w:fldChar w:fldCharType="separate"/>
    </w:r>
    <w:r w:rsidR="00C22B3E">
      <w:rPr>
        <w:noProof/>
        <w:sz w:val="16"/>
        <w:szCs w:val="16"/>
      </w:rPr>
      <w:t>Equ30-27_Guide_Cross_Inst_Corr_Studies</w:t>
    </w:r>
    <w:r>
      <w:rPr>
        <w:noProof/>
        <w:sz w:val="16"/>
        <w:szCs w:val="16"/>
      </w:rPr>
      <w:fldChar w:fldCharType="end"/>
    </w:r>
    <w:r w:rsidR="00AB3328">
      <w:rPr>
        <w:sz w:val="16"/>
        <w:szCs w:val="16"/>
      </w:rPr>
      <w:t xml:space="preserve">  Equ3</w:t>
    </w:r>
    <w:r w:rsidR="00987553">
      <w:rPr>
        <w:sz w:val="16"/>
        <w:szCs w:val="16"/>
      </w:rPr>
      <w:t xml:space="preserve">0-27               </w:t>
    </w:r>
    <w:r w:rsidR="00987553">
      <w:rPr>
        <w:sz w:val="16"/>
        <w:szCs w:val="16"/>
      </w:rPr>
      <w:tab/>
      <w:t xml:space="preserve">  </w:t>
    </w:r>
    <w:r w:rsidR="001A5D1A" w:rsidRPr="0090479F">
      <w:rPr>
        <w:sz w:val="16"/>
        <w:szCs w:val="16"/>
      </w:rPr>
      <w:t xml:space="preserve">Page </w:t>
    </w:r>
    <w:r w:rsidR="001A5D1A" w:rsidRPr="0090479F">
      <w:rPr>
        <w:b/>
        <w:sz w:val="16"/>
        <w:szCs w:val="16"/>
      </w:rPr>
      <w:fldChar w:fldCharType="begin"/>
    </w:r>
    <w:r w:rsidR="001A5D1A" w:rsidRPr="0090479F">
      <w:rPr>
        <w:b/>
        <w:sz w:val="16"/>
        <w:szCs w:val="16"/>
      </w:rPr>
      <w:instrText xml:space="preserve"> PAGE </w:instrText>
    </w:r>
    <w:r w:rsidR="001A5D1A" w:rsidRPr="0090479F">
      <w:rPr>
        <w:b/>
        <w:sz w:val="16"/>
        <w:szCs w:val="16"/>
      </w:rPr>
      <w:fldChar w:fldCharType="separate"/>
    </w:r>
    <w:r w:rsidR="00C07B26">
      <w:rPr>
        <w:b/>
        <w:noProof/>
        <w:sz w:val="16"/>
        <w:szCs w:val="16"/>
      </w:rPr>
      <w:t>1</w:t>
    </w:r>
    <w:r w:rsidR="001A5D1A" w:rsidRPr="0090479F">
      <w:rPr>
        <w:b/>
        <w:sz w:val="16"/>
        <w:szCs w:val="16"/>
      </w:rPr>
      <w:fldChar w:fldCharType="end"/>
    </w:r>
    <w:r w:rsidR="001A5D1A" w:rsidRPr="0090479F">
      <w:rPr>
        <w:sz w:val="16"/>
        <w:szCs w:val="16"/>
      </w:rPr>
      <w:t xml:space="preserve"> of </w:t>
    </w:r>
    <w:r w:rsidR="001A5D1A" w:rsidRPr="0090479F">
      <w:rPr>
        <w:b/>
        <w:sz w:val="16"/>
        <w:szCs w:val="16"/>
      </w:rPr>
      <w:fldChar w:fldCharType="begin"/>
    </w:r>
    <w:r w:rsidR="001A5D1A" w:rsidRPr="0090479F">
      <w:rPr>
        <w:b/>
        <w:sz w:val="16"/>
        <w:szCs w:val="16"/>
      </w:rPr>
      <w:instrText xml:space="preserve"> NUMPAGES  </w:instrText>
    </w:r>
    <w:r w:rsidR="001A5D1A" w:rsidRPr="0090479F">
      <w:rPr>
        <w:b/>
        <w:sz w:val="16"/>
        <w:szCs w:val="16"/>
      </w:rPr>
      <w:fldChar w:fldCharType="separate"/>
    </w:r>
    <w:r w:rsidR="00C07B26">
      <w:rPr>
        <w:b/>
        <w:noProof/>
        <w:sz w:val="16"/>
        <w:szCs w:val="16"/>
      </w:rPr>
      <w:t>3</w:t>
    </w:r>
    <w:r w:rsidR="001A5D1A" w:rsidRPr="0090479F">
      <w:rPr>
        <w:b/>
        <w:sz w:val="16"/>
        <w:szCs w:val="16"/>
      </w:rPr>
      <w:fldChar w:fldCharType="end"/>
    </w:r>
  </w:p>
  <w:p w:rsidR="001A5D1A" w:rsidRPr="0090479F" w:rsidRDefault="001A5D1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03" w:rsidRDefault="00545D03" w:rsidP="003A6F04">
      <w:r>
        <w:separator/>
      </w:r>
    </w:p>
  </w:footnote>
  <w:footnote w:type="continuationSeparator" w:id="0">
    <w:p w:rsidR="00545D03" w:rsidRDefault="00545D03" w:rsidP="003A6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5B2"/>
    <w:multiLevelType w:val="hybridMultilevel"/>
    <w:tmpl w:val="ADB0E5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3124E8"/>
    <w:multiLevelType w:val="hybridMultilevel"/>
    <w:tmpl w:val="1BF4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65CA"/>
    <w:multiLevelType w:val="hybridMultilevel"/>
    <w:tmpl w:val="99829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0399D"/>
    <w:multiLevelType w:val="hybridMultilevel"/>
    <w:tmpl w:val="D81098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58E3B26"/>
    <w:multiLevelType w:val="hybridMultilevel"/>
    <w:tmpl w:val="FBEE8C0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7250904"/>
    <w:multiLevelType w:val="hybridMultilevel"/>
    <w:tmpl w:val="0512C5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4263"/>
    <w:rsid w:val="0006121F"/>
    <w:rsid w:val="00084A5F"/>
    <w:rsid w:val="00097AB6"/>
    <w:rsid w:val="00126CE4"/>
    <w:rsid w:val="00135962"/>
    <w:rsid w:val="001448C7"/>
    <w:rsid w:val="00185DB0"/>
    <w:rsid w:val="001937F9"/>
    <w:rsid w:val="001A5D1A"/>
    <w:rsid w:val="001B252D"/>
    <w:rsid w:val="001D08FC"/>
    <w:rsid w:val="00212536"/>
    <w:rsid w:val="0029526B"/>
    <w:rsid w:val="00295796"/>
    <w:rsid w:val="002A59B3"/>
    <w:rsid w:val="002E4A83"/>
    <w:rsid w:val="00332FF6"/>
    <w:rsid w:val="0036500E"/>
    <w:rsid w:val="003A5DB2"/>
    <w:rsid w:val="003A6F04"/>
    <w:rsid w:val="003D26E3"/>
    <w:rsid w:val="003E1A49"/>
    <w:rsid w:val="00450B23"/>
    <w:rsid w:val="00486D72"/>
    <w:rsid w:val="004D4181"/>
    <w:rsid w:val="004E4D6B"/>
    <w:rsid w:val="004F1F95"/>
    <w:rsid w:val="004F2BAA"/>
    <w:rsid w:val="00525A5D"/>
    <w:rsid w:val="0053731B"/>
    <w:rsid w:val="00545D03"/>
    <w:rsid w:val="00550D62"/>
    <w:rsid w:val="00564D66"/>
    <w:rsid w:val="005A04BB"/>
    <w:rsid w:val="005E6378"/>
    <w:rsid w:val="006166A1"/>
    <w:rsid w:val="006234B0"/>
    <w:rsid w:val="00634E07"/>
    <w:rsid w:val="00651C6F"/>
    <w:rsid w:val="00662C8C"/>
    <w:rsid w:val="006A31B2"/>
    <w:rsid w:val="00710167"/>
    <w:rsid w:val="00721BBA"/>
    <w:rsid w:val="00737F8A"/>
    <w:rsid w:val="00747EC6"/>
    <w:rsid w:val="00750980"/>
    <w:rsid w:val="007701BF"/>
    <w:rsid w:val="007A0DD0"/>
    <w:rsid w:val="007B0366"/>
    <w:rsid w:val="008068D4"/>
    <w:rsid w:val="00824263"/>
    <w:rsid w:val="0083374F"/>
    <w:rsid w:val="008473E4"/>
    <w:rsid w:val="00867B91"/>
    <w:rsid w:val="008E675E"/>
    <w:rsid w:val="008F2D1A"/>
    <w:rsid w:val="008F3165"/>
    <w:rsid w:val="0090479F"/>
    <w:rsid w:val="00951E4D"/>
    <w:rsid w:val="009702B4"/>
    <w:rsid w:val="00984E0B"/>
    <w:rsid w:val="00987553"/>
    <w:rsid w:val="00991E45"/>
    <w:rsid w:val="0099365F"/>
    <w:rsid w:val="009C2683"/>
    <w:rsid w:val="009C65C2"/>
    <w:rsid w:val="009F176A"/>
    <w:rsid w:val="00A14B82"/>
    <w:rsid w:val="00A4128C"/>
    <w:rsid w:val="00A46CB0"/>
    <w:rsid w:val="00AB3328"/>
    <w:rsid w:val="00AC3C8D"/>
    <w:rsid w:val="00B25828"/>
    <w:rsid w:val="00B500FB"/>
    <w:rsid w:val="00B6566F"/>
    <w:rsid w:val="00BD7A0A"/>
    <w:rsid w:val="00BE2817"/>
    <w:rsid w:val="00C07B26"/>
    <w:rsid w:val="00C10AAD"/>
    <w:rsid w:val="00C15A40"/>
    <w:rsid w:val="00C22B3E"/>
    <w:rsid w:val="00C33B02"/>
    <w:rsid w:val="00C6026E"/>
    <w:rsid w:val="00C80016"/>
    <w:rsid w:val="00C8272E"/>
    <w:rsid w:val="00D05995"/>
    <w:rsid w:val="00D16C34"/>
    <w:rsid w:val="00D51028"/>
    <w:rsid w:val="00D62EC5"/>
    <w:rsid w:val="00D745FA"/>
    <w:rsid w:val="00E15CD6"/>
    <w:rsid w:val="00E3271A"/>
    <w:rsid w:val="00E536A3"/>
    <w:rsid w:val="00E54E1F"/>
    <w:rsid w:val="00EA27B3"/>
    <w:rsid w:val="00F10E7C"/>
    <w:rsid w:val="00F2672D"/>
    <w:rsid w:val="00F653D7"/>
    <w:rsid w:val="00F72E43"/>
    <w:rsid w:val="00FB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2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04BB"/>
    <w:rPr>
      <w:rFonts w:cs="Times New Roman"/>
      <w:color w:val="0000FF"/>
      <w:u w:val="single"/>
    </w:rPr>
  </w:style>
  <w:style w:type="character" w:styleId="FollowedHyperlink">
    <w:name w:val="FollowedHyperlink"/>
    <w:basedOn w:val="DefaultParagraphFont"/>
    <w:uiPriority w:val="99"/>
    <w:rsid w:val="00E536A3"/>
    <w:rPr>
      <w:rFonts w:cs="Times New Roman"/>
      <w:color w:val="800080"/>
      <w:u w:val="single"/>
    </w:rPr>
  </w:style>
  <w:style w:type="character" w:styleId="CommentReference">
    <w:name w:val="annotation reference"/>
    <w:basedOn w:val="DefaultParagraphFont"/>
    <w:uiPriority w:val="99"/>
    <w:rsid w:val="00651C6F"/>
    <w:rPr>
      <w:rFonts w:cs="Times New Roman"/>
      <w:sz w:val="16"/>
      <w:szCs w:val="16"/>
    </w:rPr>
  </w:style>
  <w:style w:type="paragraph" w:styleId="CommentText">
    <w:name w:val="annotation text"/>
    <w:basedOn w:val="Normal"/>
    <w:link w:val="CommentTextChar"/>
    <w:uiPriority w:val="99"/>
    <w:rsid w:val="00651C6F"/>
    <w:rPr>
      <w:sz w:val="20"/>
      <w:szCs w:val="20"/>
    </w:rPr>
  </w:style>
  <w:style w:type="character" w:customStyle="1" w:styleId="CommentTextChar">
    <w:name w:val="Comment Text Char"/>
    <w:basedOn w:val="DefaultParagraphFont"/>
    <w:link w:val="CommentText"/>
    <w:uiPriority w:val="99"/>
    <w:locked/>
    <w:rsid w:val="00651C6F"/>
    <w:rPr>
      <w:rFonts w:cs="Times New Roman"/>
    </w:rPr>
  </w:style>
  <w:style w:type="paragraph" w:styleId="CommentSubject">
    <w:name w:val="annotation subject"/>
    <w:basedOn w:val="CommentText"/>
    <w:next w:val="CommentText"/>
    <w:link w:val="CommentSubjectChar"/>
    <w:uiPriority w:val="99"/>
    <w:rsid w:val="00651C6F"/>
    <w:rPr>
      <w:b/>
      <w:bCs/>
    </w:rPr>
  </w:style>
  <w:style w:type="character" w:customStyle="1" w:styleId="CommentSubjectChar">
    <w:name w:val="Comment Subject Char"/>
    <w:basedOn w:val="CommentTextChar"/>
    <w:link w:val="CommentSubject"/>
    <w:uiPriority w:val="99"/>
    <w:locked/>
    <w:rsid w:val="00651C6F"/>
    <w:rPr>
      <w:rFonts w:cs="Times New Roman"/>
      <w:b/>
      <w:bCs/>
    </w:rPr>
  </w:style>
  <w:style w:type="paragraph" w:styleId="BalloonText">
    <w:name w:val="Balloon Text"/>
    <w:basedOn w:val="Normal"/>
    <w:link w:val="BalloonTextChar"/>
    <w:uiPriority w:val="99"/>
    <w:rsid w:val="00651C6F"/>
    <w:rPr>
      <w:rFonts w:ascii="Tahoma" w:hAnsi="Tahoma" w:cs="Tahoma"/>
      <w:sz w:val="16"/>
      <w:szCs w:val="16"/>
    </w:rPr>
  </w:style>
  <w:style w:type="character" w:customStyle="1" w:styleId="BalloonTextChar">
    <w:name w:val="Balloon Text Char"/>
    <w:basedOn w:val="DefaultParagraphFont"/>
    <w:link w:val="BalloonText"/>
    <w:uiPriority w:val="99"/>
    <w:locked/>
    <w:rsid w:val="00651C6F"/>
    <w:rPr>
      <w:rFonts w:ascii="Tahoma" w:hAnsi="Tahoma" w:cs="Tahoma"/>
      <w:sz w:val="16"/>
      <w:szCs w:val="16"/>
    </w:rPr>
  </w:style>
  <w:style w:type="paragraph" w:styleId="Header">
    <w:name w:val="header"/>
    <w:basedOn w:val="Normal"/>
    <w:link w:val="HeaderChar"/>
    <w:rsid w:val="003A6F04"/>
    <w:pPr>
      <w:tabs>
        <w:tab w:val="center" w:pos="4680"/>
        <w:tab w:val="right" w:pos="9360"/>
      </w:tabs>
    </w:pPr>
  </w:style>
  <w:style w:type="character" w:customStyle="1" w:styleId="HeaderChar">
    <w:name w:val="Header Char"/>
    <w:basedOn w:val="DefaultParagraphFont"/>
    <w:link w:val="Header"/>
    <w:rsid w:val="003A6F04"/>
    <w:rPr>
      <w:sz w:val="24"/>
      <w:szCs w:val="24"/>
    </w:rPr>
  </w:style>
  <w:style w:type="paragraph" w:styleId="Footer">
    <w:name w:val="footer"/>
    <w:basedOn w:val="Normal"/>
    <w:link w:val="FooterChar"/>
    <w:uiPriority w:val="99"/>
    <w:rsid w:val="003A6F04"/>
    <w:pPr>
      <w:tabs>
        <w:tab w:val="center" w:pos="4680"/>
        <w:tab w:val="right" w:pos="9360"/>
      </w:tabs>
    </w:pPr>
  </w:style>
  <w:style w:type="character" w:customStyle="1" w:styleId="FooterChar">
    <w:name w:val="Footer Char"/>
    <w:basedOn w:val="DefaultParagraphFont"/>
    <w:link w:val="Footer"/>
    <w:uiPriority w:val="99"/>
    <w:rsid w:val="003A6F04"/>
    <w:rPr>
      <w:sz w:val="24"/>
      <w:szCs w:val="24"/>
    </w:rPr>
  </w:style>
  <w:style w:type="table" w:styleId="TableGrid">
    <w:name w:val="Table Grid"/>
    <w:basedOn w:val="TableNormal"/>
    <w:rsid w:val="004F1F95"/>
    <w:pPr>
      <w:suppressAutoHyphen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c.gov/clia/regs/subpart_i.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Guideline for Cross Instrument Correlation Studies</vt:lpstr>
    </vt:vector>
  </TitlesOfParts>
  <Company>SMILE-JHMI Department of Pathology</Company>
  <LinksUpToDate>false</LinksUpToDate>
  <CharactersWithSpaces>7576</CharactersWithSpaces>
  <SharedDoc>false</SharedDoc>
  <HLinks>
    <vt:vector size="6" baseType="variant">
      <vt:variant>
        <vt:i4>3473486</vt:i4>
      </vt:variant>
      <vt:variant>
        <vt:i4>0</vt:i4>
      </vt:variant>
      <vt:variant>
        <vt:i4>0</vt:i4>
      </vt:variant>
      <vt:variant>
        <vt:i4>5</vt:i4>
      </vt:variant>
      <vt:variant>
        <vt:lpwstr>http://wwwn.cdc.gov/clia/regs/subpart_i.aspx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Cross Instrument Correlation Studies</dc:title>
  <dc:creator>Kurt Michael</dc:creator>
  <dc:description>Equ2.0-27</dc:description>
  <cp:lastModifiedBy>Dan</cp:lastModifiedBy>
  <cp:revision>2</cp:revision>
  <cp:lastPrinted>2012-07-13T20:05:00Z</cp:lastPrinted>
  <dcterms:created xsi:type="dcterms:W3CDTF">2012-07-16T17:54:00Z</dcterms:created>
  <dcterms:modified xsi:type="dcterms:W3CDTF">2012-07-16T17:54:00Z</dcterms:modified>
</cp:coreProperties>
</file>